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7C4C3F" w14:textId="685F05D0" w:rsidR="00B378EF" w:rsidRDefault="00B378EF" w:rsidP="00646E37">
      <w:pPr>
        <w:shd w:val="clear" w:color="auto" w:fill="FEFEFE"/>
        <w:spacing w:after="0" w:line="240" w:lineRule="auto"/>
        <w:jc w:val="center"/>
        <w:rPr>
          <w:rFonts w:ascii="Cambria" w:eastAsia="Times New Roman" w:hAnsi="Cambria" w:cstheme="minorHAnsi"/>
          <w:b/>
          <w:bCs/>
          <w:color w:val="444444"/>
        </w:rPr>
      </w:pPr>
      <w:r>
        <w:rPr>
          <w:rFonts w:ascii="Cambria" w:eastAsia="Times New Roman" w:hAnsi="Cambria" w:cstheme="minorHAnsi"/>
          <w:b/>
          <w:bCs/>
          <w:color w:val="444444"/>
        </w:rPr>
        <w:t>CITY OF NAPAVINE</w:t>
      </w:r>
    </w:p>
    <w:p w14:paraId="206EE5EA" w14:textId="7E3971A6" w:rsidR="00B378EF" w:rsidRDefault="00B378EF" w:rsidP="00646E37">
      <w:pPr>
        <w:shd w:val="clear" w:color="auto" w:fill="FEFEFE"/>
        <w:spacing w:after="0" w:line="240" w:lineRule="auto"/>
        <w:jc w:val="center"/>
        <w:rPr>
          <w:rFonts w:ascii="Cambria" w:eastAsia="Times New Roman" w:hAnsi="Cambria" w:cstheme="minorHAnsi"/>
          <w:b/>
          <w:bCs/>
          <w:color w:val="444444"/>
        </w:rPr>
      </w:pPr>
      <w:r>
        <w:rPr>
          <w:rFonts w:ascii="Cambria" w:eastAsia="Times New Roman" w:hAnsi="Cambria" w:cstheme="minorHAnsi"/>
          <w:b/>
          <w:bCs/>
          <w:color w:val="444444"/>
        </w:rPr>
        <w:t>NOTES TO FINANCIAL STATEMENTS</w:t>
      </w:r>
    </w:p>
    <w:p w14:paraId="2FC68AA1" w14:textId="2B646430" w:rsidR="00B378EF" w:rsidRDefault="00B378EF" w:rsidP="00646E37">
      <w:pPr>
        <w:shd w:val="clear" w:color="auto" w:fill="FEFEFE"/>
        <w:spacing w:after="0" w:line="240" w:lineRule="auto"/>
        <w:jc w:val="center"/>
        <w:rPr>
          <w:rFonts w:ascii="Cambria" w:eastAsia="Times New Roman" w:hAnsi="Cambria" w:cstheme="minorHAnsi"/>
          <w:b/>
          <w:bCs/>
          <w:color w:val="444444"/>
        </w:rPr>
      </w:pPr>
      <w:r w:rsidRPr="00B378EF">
        <w:rPr>
          <w:rFonts w:ascii="Cambria" w:eastAsia="Times New Roman" w:hAnsi="Cambria" w:cstheme="minorHAnsi"/>
          <w:b/>
          <w:bCs/>
          <w:color w:val="444444"/>
        </w:rPr>
        <w:t xml:space="preserve">FOR THE YEAR ENDING </w:t>
      </w:r>
      <w:r>
        <w:rPr>
          <w:rFonts w:ascii="Cambria" w:eastAsia="Times New Roman" w:hAnsi="Cambria" w:cstheme="minorHAnsi"/>
          <w:b/>
          <w:bCs/>
          <w:color w:val="444444"/>
        </w:rPr>
        <w:t>DECEMBER 31, 202</w:t>
      </w:r>
      <w:r w:rsidR="00C36D8A">
        <w:rPr>
          <w:rFonts w:ascii="Cambria" w:eastAsia="Times New Roman" w:hAnsi="Cambria" w:cstheme="minorHAnsi"/>
          <w:b/>
          <w:bCs/>
          <w:color w:val="444444"/>
        </w:rPr>
        <w:t>4</w:t>
      </w:r>
    </w:p>
    <w:p w14:paraId="05BF1723" w14:textId="77777777" w:rsidR="00B378EF" w:rsidRDefault="00B378EF" w:rsidP="00646E37">
      <w:pPr>
        <w:shd w:val="clear" w:color="auto" w:fill="FEFEFE"/>
        <w:spacing w:after="0" w:line="240" w:lineRule="auto"/>
        <w:jc w:val="both"/>
        <w:rPr>
          <w:rFonts w:ascii="Cambria" w:eastAsia="Times New Roman" w:hAnsi="Cambria" w:cstheme="minorHAnsi"/>
          <w:b/>
          <w:bCs/>
          <w:color w:val="444444"/>
        </w:rPr>
      </w:pPr>
    </w:p>
    <w:p w14:paraId="7A2932DE" w14:textId="5982B0A2" w:rsidR="006B22AC" w:rsidRPr="00646E37" w:rsidRDefault="006B22AC" w:rsidP="00646E37">
      <w:pPr>
        <w:shd w:val="clear" w:color="auto" w:fill="FEFEFE"/>
        <w:spacing w:after="0" w:line="240" w:lineRule="auto"/>
        <w:jc w:val="both"/>
        <w:rPr>
          <w:rFonts w:ascii="Cambria" w:eastAsia="Times New Roman" w:hAnsi="Cambria" w:cstheme="minorHAnsi"/>
          <w:color w:val="444444"/>
          <w:u w:val="single"/>
        </w:rPr>
      </w:pPr>
      <w:r w:rsidRPr="00646E37">
        <w:rPr>
          <w:rFonts w:ascii="Cambria" w:eastAsia="Times New Roman" w:hAnsi="Cambria" w:cstheme="minorHAnsi"/>
          <w:b/>
          <w:bCs/>
          <w:color w:val="444444"/>
          <w:u w:val="single"/>
        </w:rPr>
        <w:t>Note 1 – Summary of Significant Accounting Policies</w:t>
      </w:r>
    </w:p>
    <w:p w14:paraId="7FAA9768" w14:textId="5EC92078" w:rsidR="00B378EF" w:rsidRDefault="00B378EF" w:rsidP="00646E37">
      <w:pPr>
        <w:shd w:val="clear" w:color="auto" w:fill="FEFEFE"/>
        <w:spacing w:after="0" w:line="240" w:lineRule="auto"/>
        <w:jc w:val="both"/>
        <w:rPr>
          <w:rFonts w:ascii="Cambria" w:eastAsia="Times New Roman" w:hAnsi="Cambria" w:cstheme="minorHAnsi"/>
          <w:color w:val="444444"/>
        </w:rPr>
      </w:pPr>
      <w:r w:rsidRPr="00B378EF">
        <w:rPr>
          <w:rFonts w:ascii="Cambria" w:eastAsia="Times New Roman" w:hAnsi="Cambria" w:cstheme="minorHAnsi"/>
          <w:color w:val="444444"/>
        </w:rPr>
        <w:t xml:space="preserve">The City of Napavine was incorporated on 11/21/1913 and operates under the laws of the state of Washington applicable to a code city with a mayor-council form of government. The City of Napavine is a general-purpose local government and provides public safety law enforcement, municipal court, street maintenance and improvements, parks, building permits and inspections and general administrative services. In addition, the City of Napavine owns and operates a water and sewer system servicing the residents and businesses.  </w:t>
      </w:r>
    </w:p>
    <w:p w14:paraId="64EF876A" w14:textId="77777777" w:rsidR="00506FAC" w:rsidRPr="00B378EF" w:rsidRDefault="00506FAC" w:rsidP="00646E37">
      <w:pPr>
        <w:shd w:val="clear" w:color="auto" w:fill="FEFEFE"/>
        <w:spacing w:after="0" w:line="240" w:lineRule="auto"/>
        <w:jc w:val="both"/>
        <w:rPr>
          <w:rFonts w:ascii="Cambria" w:eastAsia="Times New Roman" w:hAnsi="Cambria" w:cstheme="minorHAnsi"/>
          <w:color w:val="444444"/>
        </w:rPr>
      </w:pPr>
    </w:p>
    <w:p w14:paraId="7B9B6FD6" w14:textId="15B51B14" w:rsidR="006B22AC" w:rsidRPr="006B22AC" w:rsidRDefault="006B22AC" w:rsidP="00646E37">
      <w:pPr>
        <w:shd w:val="clear" w:color="auto" w:fill="FEFEFE"/>
        <w:spacing w:after="0" w:line="240" w:lineRule="auto"/>
        <w:jc w:val="both"/>
        <w:rPr>
          <w:rFonts w:ascii="Cambria" w:eastAsia="Times New Roman" w:hAnsi="Cambria" w:cstheme="minorHAnsi"/>
          <w:color w:val="444444"/>
        </w:rPr>
      </w:pPr>
      <w:r w:rsidRPr="006B22AC">
        <w:rPr>
          <w:rFonts w:ascii="Cambria" w:eastAsia="Times New Roman" w:hAnsi="Cambria" w:cstheme="minorHAnsi"/>
          <w:color w:val="444444"/>
        </w:rPr>
        <w:t>The </w:t>
      </w:r>
      <w:r w:rsidR="00602DB6" w:rsidRPr="00AB0AC3">
        <w:rPr>
          <w:rFonts w:ascii="Cambria" w:eastAsia="Times New Roman" w:hAnsi="Cambria" w:cstheme="minorHAnsi"/>
          <w:color w:val="444444"/>
        </w:rPr>
        <w:t>City of Napavine</w:t>
      </w:r>
      <w:r w:rsidRPr="006B22AC">
        <w:rPr>
          <w:rFonts w:ascii="Cambria" w:eastAsia="Times New Roman" w:hAnsi="Cambria" w:cstheme="minorHAnsi"/>
          <w:color w:val="444444"/>
        </w:rPr>
        <w:t> reports financial activity in accordance with the </w:t>
      </w:r>
      <w:r w:rsidRPr="006B22AC">
        <w:rPr>
          <w:rFonts w:ascii="Cambria" w:eastAsia="Times New Roman" w:hAnsi="Cambria" w:cstheme="minorHAnsi"/>
          <w:i/>
          <w:iCs/>
          <w:color w:val="444444"/>
        </w:rPr>
        <w:t>Cash Basis Budgeting, Accounting and Reporting System</w:t>
      </w:r>
      <w:r w:rsidRPr="006B22AC">
        <w:rPr>
          <w:rFonts w:ascii="Cambria" w:eastAsia="Times New Roman" w:hAnsi="Cambria" w:cstheme="minorHAnsi"/>
          <w:color w:val="444444"/>
        </w:rPr>
        <w:t xml:space="preserve"> (BARS) Manual prescribed by the State Auditor’s Office under the authority of Washington State law, </w:t>
      </w:r>
      <w:r w:rsidRPr="00E54CCE">
        <w:rPr>
          <w:rFonts w:ascii="Cambria" w:eastAsia="Times New Roman" w:hAnsi="Cambria" w:cstheme="minorHAnsi"/>
        </w:rPr>
        <w:t>Chapter </w:t>
      </w:r>
      <w:hyperlink r:id="rId8" w:history="1">
        <w:r w:rsidRPr="00E54CCE">
          <w:rPr>
            <w:rFonts w:ascii="Cambria" w:eastAsia="Times New Roman" w:hAnsi="Cambria" w:cstheme="minorHAnsi"/>
            <w:u w:val="single"/>
          </w:rPr>
          <w:t>43.09</w:t>
        </w:r>
      </w:hyperlink>
      <w:r w:rsidRPr="006B22AC">
        <w:rPr>
          <w:rFonts w:ascii="Cambria" w:eastAsia="Times New Roman" w:hAnsi="Cambria" w:cstheme="minorHAnsi"/>
          <w:color w:val="444444"/>
        </w:rPr>
        <w:t> RCW. This manual prescribes a financial reporting framework that differs from Generally Accepted Accounting Principles (GAAP) in the following manner:</w:t>
      </w:r>
    </w:p>
    <w:p w14:paraId="151E554A" w14:textId="77777777" w:rsidR="006B22AC" w:rsidRPr="006B22AC" w:rsidRDefault="006B22AC" w:rsidP="00646E37">
      <w:pPr>
        <w:numPr>
          <w:ilvl w:val="0"/>
          <w:numId w:val="1"/>
        </w:numPr>
        <w:shd w:val="clear" w:color="auto" w:fill="FEFEFE"/>
        <w:spacing w:after="0" w:line="240" w:lineRule="auto"/>
        <w:jc w:val="both"/>
        <w:rPr>
          <w:rFonts w:ascii="Cambria" w:eastAsia="Times New Roman" w:hAnsi="Cambria" w:cstheme="minorHAnsi"/>
          <w:color w:val="444444"/>
        </w:rPr>
      </w:pPr>
      <w:r w:rsidRPr="006B22AC">
        <w:rPr>
          <w:rFonts w:ascii="Cambria" w:eastAsia="Times New Roman" w:hAnsi="Cambria" w:cstheme="minorHAnsi"/>
          <w:color w:val="444444"/>
        </w:rPr>
        <w:t>Financial transactions are recognized on a cash basis of accounting as described below.</w:t>
      </w:r>
    </w:p>
    <w:p w14:paraId="47BAA4C4" w14:textId="5BE51738" w:rsidR="006B22AC" w:rsidRPr="006B22AC" w:rsidRDefault="006B22AC" w:rsidP="00646E37">
      <w:pPr>
        <w:numPr>
          <w:ilvl w:val="0"/>
          <w:numId w:val="1"/>
        </w:numPr>
        <w:shd w:val="clear" w:color="auto" w:fill="FEFEFE"/>
        <w:spacing w:after="0" w:line="240" w:lineRule="auto"/>
        <w:jc w:val="both"/>
        <w:rPr>
          <w:rFonts w:ascii="Cambria" w:eastAsia="Times New Roman" w:hAnsi="Cambria" w:cstheme="minorHAnsi"/>
          <w:color w:val="444444"/>
        </w:rPr>
      </w:pPr>
      <w:r w:rsidRPr="006B22AC">
        <w:rPr>
          <w:rFonts w:ascii="Cambria" w:eastAsia="Times New Roman" w:hAnsi="Cambria" w:cstheme="minorHAnsi"/>
          <w:color w:val="444444"/>
        </w:rPr>
        <w:t xml:space="preserve">Component units are required to be disclosed, but are not included in the financial statements </w:t>
      </w:r>
    </w:p>
    <w:p w14:paraId="5E4FC579" w14:textId="77777777" w:rsidR="006B22AC" w:rsidRPr="006B22AC" w:rsidRDefault="006B22AC" w:rsidP="00646E37">
      <w:pPr>
        <w:numPr>
          <w:ilvl w:val="0"/>
          <w:numId w:val="1"/>
        </w:numPr>
        <w:shd w:val="clear" w:color="auto" w:fill="FEFEFE"/>
        <w:spacing w:after="0" w:line="240" w:lineRule="auto"/>
        <w:jc w:val="both"/>
        <w:rPr>
          <w:rFonts w:ascii="Cambria" w:eastAsia="Times New Roman" w:hAnsi="Cambria" w:cstheme="minorHAnsi"/>
          <w:color w:val="444444"/>
        </w:rPr>
      </w:pPr>
      <w:r w:rsidRPr="006B22AC">
        <w:rPr>
          <w:rFonts w:ascii="Cambria" w:eastAsia="Times New Roman" w:hAnsi="Cambria" w:cstheme="minorHAnsi"/>
          <w:color w:val="444444"/>
        </w:rPr>
        <w:t>Government-wide statements, as defined in GAAP, are not presented.</w:t>
      </w:r>
    </w:p>
    <w:p w14:paraId="35579DBB" w14:textId="77777777" w:rsidR="006B22AC" w:rsidRPr="006B22AC" w:rsidRDefault="006B22AC" w:rsidP="00646E37">
      <w:pPr>
        <w:numPr>
          <w:ilvl w:val="0"/>
          <w:numId w:val="1"/>
        </w:numPr>
        <w:shd w:val="clear" w:color="auto" w:fill="FEFEFE"/>
        <w:spacing w:after="0" w:line="240" w:lineRule="auto"/>
        <w:jc w:val="both"/>
        <w:rPr>
          <w:rFonts w:ascii="Cambria" w:eastAsia="Times New Roman" w:hAnsi="Cambria" w:cstheme="minorHAnsi"/>
          <w:color w:val="444444"/>
        </w:rPr>
      </w:pPr>
      <w:r w:rsidRPr="006B22AC">
        <w:rPr>
          <w:rFonts w:ascii="Cambria" w:eastAsia="Times New Roman" w:hAnsi="Cambria" w:cstheme="minorHAnsi"/>
          <w:color w:val="444444"/>
        </w:rPr>
        <w:t>All funds are presented, rather than a focus on major funds.</w:t>
      </w:r>
    </w:p>
    <w:p w14:paraId="7D4AE28D" w14:textId="77777777" w:rsidR="006B22AC" w:rsidRPr="006B22AC" w:rsidRDefault="006B22AC" w:rsidP="00646E37">
      <w:pPr>
        <w:numPr>
          <w:ilvl w:val="0"/>
          <w:numId w:val="1"/>
        </w:numPr>
        <w:shd w:val="clear" w:color="auto" w:fill="FEFEFE"/>
        <w:spacing w:after="0" w:line="240" w:lineRule="auto"/>
        <w:jc w:val="both"/>
        <w:rPr>
          <w:rFonts w:ascii="Cambria" w:eastAsia="Times New Roman" w:hAnsi="Cambria" w:cstheme="minorHAnsi"/>
          <w:color w:val="444444"/>
        </w:rPr>
      </w:pPr>
      <w:r w:rsidRPr="006B22AC">
        <w:rPr>
          <w:rFonts w:ascii="Cambria" w:eastAsia="Times New Roman" w:hAnsi="Cambria" w:cstheme="minorHAnsi"/>
          <w:color w:val="444444"/>
        </w:rPr>
        <w:t>The </w:t>
      </w:r>
      <w:r w:rsidRPr="006B22AC">
        <w:rPr>
          <w:rFonts w:ascii="Cambria" w:eastAsia="Times New Roman" w:hAnsi="Cambria" w:cstheme="minorHAnsi"/>
          <w:i/>
          <w:iCs/>
          <w:color w:val="444444"/>
        </w:rPr>
        <w:t>Schedule of Liabilities</w:t>
      </w:r>
      <w:r w:rsidRPr="006B22AC">
        <w:rPr>
          <w:rFonts w:ascii="Cambria" w:eastAsia="Times New Roman" w:hAnsi="Cambria" w:cstheme="minorHAnsi"/>
          <w:color w:val="444444"/>
        </w:rPr>
        <w:t> is required to be presented with the financial statements as supplementary information.</w:t>
      </w:r>
    </w:p>
    <w:p w14:paraId="3CE23056" w14:textId="77777777" w:rsidR="006B22AC" w:rsidRPr="006B22AC" w:rsidRDefault="006B22AC" w:rsidP="00646E37">
      <w:pPr>
        <w:numPr>
          <w:ilvl w:val="0"/>
          <w:numId w:val="1"/>
        </w:numPr>
        <w:shd w:val="clear" w:color="auto" w:fill="FEFEFE"/>
        <w:spacing w:after="0" w:line="240" w:lineRule="auto"/>
        <w:jc w:val="both"/>
        <w:rPr>
          <w:rFonts w:ascii="Cambria" w:eastAsia="Times New Roman" w:hAnsi="Cambria" w:cstheme="minorHAnsi"/>
          <w:color w:val="444444"/>
        </w:rPr>
      </w:pPr>
      <w:r w:rsidRPr="006B22AC">
        <w:rPr>
          <w:rFonts w:ascii="Cambria" w:eastAsia="Times New Roman" w:hAnsi="Cambria" w:cstheme="minorHAnsi"/>
          <w:color w:val="444444"/>
        </w:rPr>
        <w:t>Supplementary information required by GAAP is not presented.</w:t>
      </w:r>
    </w:p>
    <w:p w14:paraId="4C65297C" w14:textId="0A116F11" w:rsidR="006B22AC" w:rsidRPr="006B22AC" w:rsidRDefault="006B22AC" w:rsidP="00646E37">
      <w:pPr>
        <w:numPr>
          <w:ilvl w:val="0"/>
          <w:numId w:val="1"/>
        </w:numPr>
        <w:shd w:val="clear" w:color="auto" w:fill="FEFEFE"/>
        <w:spacing w:after="0" w:line="240" w:lineRule="auto"/>
        <w:jc w:val="both"/>
        <w:rPr>
          <w:rFonts w:ascii="Cambria" w:eastAsia="Times New Roman" w:hAnsi="Cambria" w:cstheme="minorHAnsi"/>
          <w:color w:val="444444"/>
        </w:rPr>
      </w:pPr>
      <w:r w:rsidRPr="006B22AC">
        <w:rPr>
          <w:rFonts w:ascii="Cambria" w:eastAsia="Times New Roman" w:hAnsi="Cambria" w:cstheme="minorHAnsi"/>
          <w:color w:val="444444"/>
        </w:rPr>
        <w:t>Ending balances for proprietary funds are presented using classifications that are different from the ending net position classifications in GAAP.</w:t>
      </w:r>
    </w:p>
    <w:p w14:paraId="4653C43D" w14:textId="77777777" w:rsidR="00646E37" w:rsidRDefault="00646E37" w:rsidP="00646E37">
      <w:pPr>
        <w:shd w:val="clear" w:color="auto" w:fill="FEFEFE"/>
        <w:spacing w:after="0" w:line="240" w:lineRule="auto"/>
        <w:jc w:val="both"/>
        <w:rPr>
          <w:rFonts w:ascii="Cambria" w:eastAsia="Times New Roman" w:hAnsi="Cambria" w:cstheme="minorHAnsi"/>
          <w:b/>
          <w:bCs/>
          <w:color w:val="444444"/>
          <w:u w:val="single"/>
        </w:rPr>
      </w:pPr>
    </w:p>
    <w:p w14:paraId="5FF55682" w14:textId="5A7E9CD7" w:rsidR="006B22AC" w:rsidRPr="00FE154E" w:rsidRDefault="006B22AC" w:rsidP="00646E37">
      <w:pPr>
        <w:shd w:val="clear" w:color="auto" w:fill="FEFEFE"/>
        <w:spacing w:after="0" w:line="240" w:lineRule="auto"/>
        <w:jc w:val="both"/>
        <w:rPr>
          <w:rFonts w:ascii="Cambria" w:eastAsia="Times New Roman" w:hAnsi="Cambria" w:cstheme="minorHAnsi"/>
          <w:b/>
          <w:bCs/>
          <w:color w:val="444444"/>
          <w:u w:val="single"/>
        </w:rPr>
      </w:pPr>
      <w:r w:rsidRPr="00FE154E">
        <w:rPr>
          <w:rFonts w:ascii="Cambria" w:eastAsia="Times New Roman" w:hAnsi="Cambria" w:cstheme="minorHAnsi"/>
          <w:b/>
          <w:bCs/>
          <w:color w:val="444444"/>
          <w:u w:val="single"/>
        </w:rPr>
        <w:t>A. Fund Accounting</w:t>
      </w:r>
    </w:p>
    <w:p w14:paraId="6204989C" w14:textId="709FD897" w:rsidR="006B22AC" w:rsidRDefault="006B22AC" w:rsidP="00646E37">
      <w:pPr>
        <w:shd w:val="clear" w:color="auto" w:fill="FEFEFE"/>
        <w:spacing w:after="0" w:line="240" w:lineRule="auto"/>
        <w:jc w:val="both"/>
        <w:rPr>
          <w:rFonts w:ascii="Cambria" w:eastAsia="Times New Roman" w:hAnsi="Cambria" w:cstheme="minorHAnsi"/>
          <w:color w:val="444444"/>
        </w:rPr>
      </w:pPr>
      <w:r w:rsidRPr="006B22AC">
        <w:rPr>
          <w:rFonts w:ascii="Cambria" w:eastAsia="Times New Roman" w:hAnsi="Cambria" w:cstheme="minorHAnsi"/>
          <w:color w:val="444444"/>
        </w:rPr>
        <w:t>Financial transactions of the government are reported in individual funds. Each fund uses a separate set of self-balancing accounts that comprises its cash and investments, revenues and expenditures. The government’s resources are allocated to and accounted for in individual funds depending on their intended purpose. Each fund is reported as a separate column in the financial statements, except for fiduciary funds, which are presented by fund types. The total column is presented as “memo only” because any interfund activities are not eliminated. The following fund types are used:</w:t>
      </w:r>
    </w:p>
    <w:p w14:paraId="3F450AC0" w14:textId="77777777" w:rsidR="00602DB6" w:rsidRPr="006B22AC" w:rsidRDefault="00602DB6" w:rsidP="00646E37">
      <w:pPr>
        <w:shd w:val="clear" w:color="auto" w:fill="FEFEFE"/>
        <w:spacing w:after="0" w:line="240" w:lineRule="auto"/>
        <w:jc w:val="both"/>
        <w:rPr>
          <w:rFonts w:ascii="Cambria" w:eastAsia="Times New Roman" w:hAnsi="Cambria" w:cstheme="minorHAnsi"/>
          <w:color w:val="444444"/>
        </w:rPr>
      </w:pPr>
    </w:p>
    <w:p w14:paraId="655F7B47" w14:textId="73BA678E" w:rsidR="006B22AC" w:rsidRPr="006B22AC" w:rsidRDefault="0074518E" w:rsidP="0074518E">
      <w:pPr>
        <w:shd w:val="clear" w:color="auto" w:fill="FEFEFE"/>
        <w:spacing w:after="0" w:line="240" w:lineRule="auto"/>
        <w:jc w:val="both"/>
        <w:rPr>
          <w:rFonts w:ascii="Cambria" w:eastAsia="Times New Roman" w:hAnsi="Cambria" w:cstheme="minorHAnsi"/>
          <w:color w:val="444444"/>
        </w:rPr>
      </w:pPr>
      <w:r>
        <w:rPr>
          <w:rFonts w:ascii="Cambria" w:eastAsia="Times New Roman" w:hAnsi="Cambria" w:cstheme="minorHAnsi"/>
          <w:color w:val="444444"/>
        </w:rPr>
        <w:tab/>
      </w:r>
      <w:r w:rsidR="006B22AC" w:rsidRPr="006B22AC">
        <w:rPr>
          <w:rFonts w:ascii="Cambria" w:eastAsia="Times New Roman" w:hAnsi="Cambria" w:cstheme="minorHAnsi"/>
          <w:color w:val="444444"/>
        </w:rPr>
        <w:t>Governmental Fund Types: </w:t>
      </w:r>
      <w:r w:rsidR="00602DB6" w:rsidRPr="006B22AC">
        <w:rPr>
          <w:rFonts w:ascii="Cambria" w:eastAsia="Times New Roman" w:hAnsi="Cambria" w:cstheme="minorHAnsi"/>
          <w:color w:val="444444"/>
        </w:rPr>
        <w:t xml:space="preserve"> </w:t>
      </w:r>
    </w:p>
    <w:p w14:paraId="203F007E" w14:textId="77777777" w:rsidR="00602DB6" w:rsidRDefault="00602DB6" w:rsidP="00646E37">
      <w:pPr>
        <w:shd w:val="clear" w:color="auto" w:fill="FEFEFE"/>
        <w:spacing w:after="0" w:line="240" w:lineRule="auto"/>
        <w:jc w:val="both"/>
        <w:rPr>
          <w:rFonts w:ascii="Cambria" w:eastAsia="Times New Roman" w:hAnsi="Cambria" w:cstheme="minorHAnsi"/>
          <w:color w:val="444444"/>
        </w:rPr>
      </w:pPr>
      <w:r>
        <w:rPr>
          <w:rFonts w:ascii="Cambria" w:eastAsia="Times New Roman" w:hAnsi="Cambria" w:cstheme="minorHAnsi"/>
          <w:color w:val="444444"/>
        </w:rPr>
        <w:tab/>
      </w:r>
    </w:p>
    <w:p w14:paraId="1B092E22" w14:textId="2C029BEB" w:rsidR="006B22AC" w:rsidRPr="006B22AC" w:rsidRDefault="00602DB6" w:rsidP="00646E37">
      <w:pPr>
        <w:shd w:val="clear" w:color="auto" w:fill="FEFEFE"/>
        <w:spacing w:after="0" w:line="240" w:lineRule="auto"/>
        <w:ind w:left="720" w:hanging="720"/>
        <w:rPr>
          <w:rFonts w:ascii="Cambria" w:eastAsia="Times New Roman" w:hAnsi="Cambria" w:cstheme="minorHAnsi"/>
          <w:color w:val="444444"/>
        </w:rPr>
      </w:pPr>
      <w:r>
        <w:rPr>
          <w:rFonts w:ascii="Cambria" w:eastAsia="Times New Roman" w:hAnsi="Cambria" w:cstheme="minorHAnsi"/>
          <w:color w:val="444444"/>
        </w:rPr>
        <w:tab/>
      </w:r>
      <w:r w:rsidR="006B22AC" w:rsidRPr="006B22AC">
        <w:rPr>
          <w:rFonts w:ascii="Cambria" w:eastAsia="Times New Roman" w:hAnsi="Cambria" w:cstheme="minorHAnsi"/>
          <w:color w:val="444444"/>
          <w:u w:val="single"/>
        </w:rPr>
        <w:t>General Fund</w:t>
      </w:r>
      <w:r w:rsidR="006B22AC" w:rsidRPr="006B22AC">
        <w:rPr>
          <w:rFonts w:ascii="Cambria" w:eastAsia="Times New Roman" w:hAnsi="Cambria" w:cstheme="minorHAnsi"/>
          <w:color w:val="444444"/>
          <w:u w:val="single"/>
        </w:rPr>
        <w:br/>
      </w:r>
      <w:r w:rsidR="006B22AC" w:rsidRPr="006B22AC">
        <w:rPr>
          <w:rFonts w:ascii="Cambria" w:eastAsia="Times New Roman" w:hAnsi="Cambria" w:cstheme="minorHAnsi"/>
          <w:color w:val="444444"/>
        </w:rPr>
        <w:t>This fund is the primary operating fund of the government. It accounts for all financial resources except those required or elected to be accounted for in another fund.</w:t>
      </w:r>
    </w:p>
    <w:p w14:paraId="3D46CC65" w14:textId="77777777" w:rsidR="00602DB6" w:rsidRDefault="00602DB6" w:rsidP="00646E37">
      <w:pPr>
        <w:shd w:val="clear" w:color="auto" w:fill="FEFEFE"/>
        <w:spacing w:after="0" w:line="240" w:lineRule="auto"/>
        <w:jc w:val="both"/>
        <w:rPr>
          <w:rFonts w:ascii="Cambria" w:eastAsia="Times New Roman" w:hAnsi="Cambria" w:cstheme="minorHAnsi"/>
          <w:color w:val="444444"/>
        </w:rPr>
      </w:pPr>
    </w:p>
    <w:p w14:paraId="4A3B91F0" w14:textId="272D8661" w:rsidR="006B22AC" w:rsidRPr="006B22AC" w:rsidRDefault="00602DB6" w:rsidP="00646E37">
      <w:pPr>
        <w:shd w:val="clear" w:color="auto" w:fill="FEFEFE"/>
        <w:spacing w:after="0" w:line="240" w:lineRule="auto"/>
        <w:ind w:left="720" w:hanging="720"/>
        <w:rPr>
          <w:rFonts w:ascii="Cambria" w:eastAsia="Times New Roman" w:hAnsi="Cambria" w:cstheme="minorHAnsi"/>
          <w:color w:val="444444"/>
        </w:rPr>
      </w:pPr>
      <w:r>
        <w:rPr>
          <w:rFonts w:ascii="Cambria" w:eastAsia="Times New Roman" w:hAnsi="Cambria" w:cstheme="minorHAnsi"/>
          <w:color w:val="444444"/>
        </w:rPr>
        <w:tab/>
      </w:r>
      <w:r w:rsidR="006B22AC" w:rsidRPr="006B22AC">
        <w:rPr>
          <w:rFonts w:ascii="Cambria" w:eastAsia="Times New Roman" w:hAnsi="Cambria" w:cstheme="minorHAnsi"/>
          <w:color w:val="444444"/>
          <w:u w:val="single"/>
        </w:rPr>
        <w:t>Special Revenue Funds</w:t>
      </w:r>
      <w:r w:rsidR="006B22AC" w:rsidRPr="006B22AC">
        <w:rPr>
          <w:rFonts w:ascii="Cambria" w:eastAsia="Times New Roman" w:hAnsi="Cambria" w:cstheme="minorHAnsi"/>
          <w:color w:val="444444"/>
          <w:u w:val="single"/>
        </w:rPr>
        <w:br/>
      </w:r>
      <w:r w:rsidR="006B22AC" w:rsidRPr="006B22AC">
        <w:rPr>
          <w:rFonts w:ascii="Cambria" w:eastAsia="Times New Roman" w:hAnsi="Cambria" w:cstheme="minorHAnsi"/>
          <w:color w:val="444444"/>
        </w:rPr>
        <w:t>These funds account for specific revenue sources that are restricted or committed to expenditures for specified purposes of the government.</w:t>
      </w:r>
    </w:p>
    <w:p w14:paraId="6A5A77E1" w14:textId="2E6D8788" w:rsidR="006B22AC" w:rsidRPr="006B22AC" w:rsidRDefault="00602DB6" w:rsidP="00646E37">
      <w:pPr>
        <w:shd w:val="clear" w:color="auto" w:fill="FEFEFE"/>
        <w:spacing w:after="0" w:line="240" w:lineRule="auto"/>
        <w:jc w:val="both"/>
        <w:rPr>
          <w:rFonts w:ascii="Cambria" w:eastAsia="Times New Roman" w:hAnsi="Cambria" w:cstheme="minorHAnsi"/>
          <w:color w:val="444444"/>
        </w:rPr>
      </w:pPr>
      <w:r>
        <w:rPr>
          <w:rFonts w:ascii="Cambria" w:eastAsia="Times New Roman" w:hAnsi="Cambria" w:cstheme="minorHAnsi"/>
          <w:color w:val="444444"/>
        </w:rPr>
        <w:tab/>
      </w:r>
    </w:p>
    <w:p w14:paraId="2BB5EED2" w14:textId="052CFE04" w:rsidR="006B22AC" w:rsidRPr="006B22AC" w:rsidRDefault="00602DB6" w:rsidP="00646E37">
      <w:pPr>
        <w:shd w:val="clear" w:color="auto" w:fill="FEFEFE"/>
        <w:spacing w:after="0" w:line="240" w:lineRule="auto"/>
        <w:ind w:left="720" w:hanging="720"/>
        <w:rPr>
          <w:rFonts w:ascii="Cambria" w:eastAsia="Times New Roman" w:hAnsi="Cambria" w:cstheme="minorHAnsi"/>
          <w:color w:val="444444"/>
        </w:rPr>
      </w:pPr>
      <w:r w:rsidRPr="00602DB6">
        <w:rPr>
          <w:rFonts w:ascii="Cambria" w:eastAsia="Times New Roman" w:hAnsi="Cambria" w:cstheme="minorHAnsi"/>
          <w:color w:val="444444"/>
        </w:rPr>
        <w:tab/>
      </w:r>
      <w:r w:rsidR="006B22AC" w:rsidRPr="006B22AC">
        <w:rPr>
          <w:rFonts w:ascii="Cambria" w:eastAsia="Times New Roman" w:hAnsi="Cambria" w:cstheme="minorHAnsi"/>
          <w:color w:val="444444"/>
          <w:u w:val="single"/>
        </w:rPr>
        <w:t>Capital Projects Funds</w:t>
      </w:r>
      <w:r w:rsidR="006B22AC" w:rsidRPr="006B22AC">
        <w:rPr>
          <w:rFonts w:ascii="Cambria" w:eastAsia="Times New Roman" w:hAnsi="Cambria" w:cstheme="minorHAnsi"/>
          <w:color w:val="444444"/>
          <w:u w:val="single"/>
        </w:rPr>
        <w:br/>
      </w:r>
      <w:r w:rsidR="006B22AC" w:rsidRPr="006B22AC">
        <w:rPr>
          <w:rFonts w:ascii="Cambria" w:eastAsia="Times New Roman" w:hAnsi="Cambria" w:cstheme="minorHAnsi"/>
          <w:color w:val="444444"/>
        </w:rPr>
        <w:t>These funds account for financial resources which are restricted, committed, or assigned for the acquisition or construction of capital facilities or other capital assets.</w:t>
      </w:r>
    </w:p>
    <w:p w14:paraId="33C75362" w14:textId="77777777" w:rsidR="00602DB6" w:rsidRDefault="00602DB6" w:rsidP="00646E37">
      <w:pPr>
        <w:shd w:val="clear" w:color="auto" w:fill="FEFEFE"/>
        <w:spacing w:after="0" w:line="240" w:lineRule="auto"/>
        <w:jc w:val="both"/>
        <w:rPr>
          <w:rFonts w:ascii="Cambria" w:eastAsia="Times New Roman" w:hAnsi="Cambria" w:cstheme="minorHAnsi"/>
          <w:color w:val="444444"/>
        </w:rPr>
      </w:pPr>
    </w:p>
    <w:p w14:paraId="43AE5B7C" w14:textId="77777777" w:rsidR="008C16B5" w:rsidRDefault="00602DB6" w:rsidP="00646E37">
      <w:pPr>
        <w:shd w:val="clear" w:color="auto" w:fill="FEFEFE"/>
        <w:spacing w:after="0" w:line="240" w:lineRule="auto"/>
        <w:jc w:val="both"/>
        <w:rPr>
          <w:rFonts w:ascii="Cambria" w:eastAsia="Times New Roman" w:hAnsi="Cambria" w:cstheme="minorHAnsi"/>
          <w:color w:val="444444"/>
        </w:rPr>
      </w:pPr>
      <w:r>
        <w:rPr>
          <w:rFonts w:ascii="Cambria" w:eastAsia="Times New Roman" w:hAnsi="Cambria" w:cstheme="minorHAnsi"/>
          <w:color w:val="444444"/>
        </w:rPr>
        <w:tab/>
      </w:r>
    </w:p>
    <w:p w14:paraId="41BA791C" w14:textId="5123B1AA" w:rsidR="006B22AC" w:rsidRDefault="0074518E" w:rsidP="00646E37">
      <w:pPr>
        <w:shd w:val="clear" w:color="auto" w:fill="FEFEFE"/>
        <w:spacing w:after="0" w:line="240" w:lineRule="auto"/>
        <w:jc w:val="both"/>
        <w:rPr>
          <w:rFonts w:ascii="Cambria" w:eastAsia="Times New Roman" w:hAnsi="Cambria" w:cstheme="minorHAnsi"/>
          <w:color w:val="444444"/>
        </w:rPr>
      </w:pPr>
      <w:r>
        <w:rPr>
          <w:rFonts w:ascii="Cambria" w:eastAsia="Times New Roman" w:hAnsi="Cambria" w:cstheme="minorHAnsi"/>
          <w:color w:val="444444"/>
        </w:rPr>
        <w:lastRenderedPageBreak/>
        <w:tab/>
      </w:r>
      <w:r w:rsidR="006B22AC" w:rsidRPr="006B22AC">
        <w:rPr>
          <w:rFonts w:ascii="Cambria" w:eastAsia="Times New Roman" w:hAnsi="Cambria" w:cstheme="minorHAnsi"/>
          <w:color w:val="444444"/>
        </w:rPr>
        <w:t>Proprietary Fund Types</w:t>
      </w:r>
      <w:r w:rsidR="00602DB6">
        <w:rPr>
          <w:rFonts w:ascii="Cambria" w:eastAsia="Times New Roman" w:hAnsi="Cambria" w:cstheme="minorHAnsi"/>
          <w:color w:val="444444"/>
        </w:rPr>
        <w:t>:</w:t>
      </w:r>
    </w:p>
    <w:p w14:paraId="45D26419" w14:textId="77777777" w:rsidR="00602DB6" w:rsidRPr="006B22AC" w:rsidRDefault="00602DB6" w:rsidP="00646E37">
      <w:pPr>
        <w:shd w:val="clear" w:color="auto" w:fill="FEFEFE"/>
        <w:spacing w:after="0" w:line="240" w:lineRule="auto"/>
        <w:jc w:val="both"/>
        <w:rPr>
          <w:rFonts w:ascii="Cambria" w:eastAsia="Times New Roman" w:hAnsi="Cambria" w:cstheme="minorHAnsi"/>
          <w:color w:val="444444"/>
        </w:rPr>
      </w:pPr>
    </w:p>
    <w:p w14:paraId="29C5074E" w14:textId="3356E820" w:rsidR="006B22AC" w:rsidRPr="006B22AC" w:rsidRDefault="00602DB6" w:rsidP="00646E37">
      <w:pPr>
        <w:shd w:val="clear" w:color="auto" w:fill="FEFEFE"/>
        <w:spacing w:after="0" w:line="240" w:lineRule="auto"/>
        <w:ind w:left="720" w:hanging="720"/>
        <w:rPr>
          <w:rFonts w:ascii="Cambria" w:eastAsia="Times New Roman" w:hAnsi="Cambria" w:cstheme="minorHAnsi"/>
          <w:color w:val="444444"/>
        </w:rPr>
      </w:pPr>
      <w:r>
        <w:rPr>
          <w:rFonts w:ascii="Cambria" w:eastAsia="Times New Roman" w:hAnsi="Cambria" w:cstheme="minorHAnsi"/>
          <w:color w:val="444444"/>
        </w:rPr>
        <w:tab/>
      </w:r>
      <w:r w:rsidR="006B22AC" w:rsidRPr="006B22AC">
        <w:rPr>
          <w:rFonts w:ascii="Cambria" w:eastAsia="Times New Roman" w:hAnsi="Cambria" w:cstheme="minorHAnsi"/>
          <w:color w:val="444444"/>
          <w:u w:val="single"/>
        </w:rPr>
        <w:t>Enterprise Funds</w:t>
      </w:r>
      <w:r w:rsidR="006B22AC" w:rsidRPr="006B22AC">
        <w:rPr>
          <w:rFonts w:ascii="Cambria" w:eastAsia="Times New Roman" w:hAnsi="Cambria" w:cstheme="minorHAnsi"/>
          <w:color w:val="444444"/>
          <w:u w:val="single"/>
        </w:rPr>
        <w:br/>
      </w:r>
      <w:r w:rsidR="006B22AC" w:rsidRPr="006B22AC">
        <w:rPr>
          <w:rFonts w:ascii="Cambria" w:eastAsia="Times New Roman" w:hAnsi="Cambria" w:cstheme="minorHAnsi"/>
          <w:color w:val="444444"/>
        </w:rPr>
        <w:t xml:space="preserve">These funds account for operations that provide goods or services to the </w:t>
      </w:r>
      <w:proofErr w:type="gramStart"/>
      <w:r w:rsidR="006B22AC" w:rsidRPr="006B22AC">
        <w:rPr>
          <w:rFonts w:ascii="Cambria" w:eastAsia="Times New Roman" w:hAnsi="Cambria" w:cstheme="minorHAnsi"/>
          <w:color w:val="444444"/>
        </w:rPr>
        <w:t>general public</w:t>
      </w:r>
      <w:proofErr w:type="gramEnd"/>
      <w:r w:rsidR="006B22AC" w:rsidRPr="006B22AC">
        <w:rPr>
          <w:rFonts w:ascii="Cambria" w:eastAsia="Times New Roman" w:hAnsi="Cambria" w:cstheme="minorHAnsi"/>
          <w:color w:val="444444"/>
        </w:rPr>
        <w:t xml:space="preserve"> and are supported primarily through user charges.</w:t>
      </w:r>
    </w:p>
    <w:p w14:paraId="4996BB44" w14:textId="77777777" w:rsidR="00426A6E" w:rsidRDefault="00426A6E" w:rsidP="00646E37">
      <w:pPr>
        <w:shd w:val="clear" w:color="auto" w:fill="FEFEFE"/>
        <w:spacing w:after="0" w:line="240" w:lineRule="auto"/>
        <w:jc w:val="both"/>
        <w:rPr>
          <w:rFonts w:ascii="Cambria" w:eastAsia="Times New Roman" w:hAnsi="Cambria" w:cstheme="minorHAnsi"/>
          <w:color w:val="444444"/>
        </w:rPr>
      </w:pPr>
    </w:p>
    <w:p w14:paraId="06B616E7" w14:textId="369AFCFD" w:rsidR="006B22AC" w:rsidRPr="006B22AC" w:rsidRDefault="00426A6E" w:rsidP="00646E37">
      <w:pPr>
        <w:shd w:val="clear" w:color="auto" w:fill="FEFEFE"/>
        <w:spacing w:after="0" w:line="240" w:lineRule="auto"/>
        <w:ind w:left="720" w:hanging="720"/>
        <w:rPr>
          <w:rFonts w:ascii="Cambria" w:eastAsia="Times New Roman" w:hAnsi="Cambria" w:cstheme="minorHAnsi"/>
          <w:color w:val="444444"/>
        </w:rPr>
      </w:pPr>
      <w:r>
        <w:rPr>
          <w:rFonts w:ascii="Cambria" w:eastAsia="Times New Roman" w:hAnsi="Cambria" w:cstheme="minorHAnsi"/>
          <w:color w:val="444444"/>
        </w:rPr>
        <w:tab/>
      </w:r>
      <w:r w:rsidR="006B22AC" w:rsidRPr="006B22AC">
        <w:rPr>
          <w:rFonts w:ascii="Cambria" w:eastAsia="Times New Roman" w:hAnsi="Cambria" w:cstheme="minorHAnsi"/>
          <w:color w:val="444444"/>
          <w:u w:val="single"/>
        </w:rPr>
        <w:t>Internal Service Funds</w:t>
      </w:r>
      <w:r w:rsidR="006B22AC" w:rsidRPr="006B22AC">
        <w:rPr>
          <w:rFonts w:ascii="Cambria" w:eastAsia="Times New Roman" w:hAnsi="Cambria" w:cstheme="minorHAnsi"/>
          <w:color w:val="444444"/>
          <w:u w:val="single"/>
        </w:rPr>
        <w:br/>
      </w:r>
      <w:r w:rsidR="006B22AC" w:rsidRPr="006B22AC">
        <w:rPr>
          <w:rFonts w:ascii="Cambria" w:eastAsia="Times New Roman" w:hAnsi="Cambria" w:cstheme="minorHAnsi"/>
          <w:color w:val="444444"/>
        </w:rPr>
        <w:t>These funds account for operations that provide goods or services to other departments or funds of the government on a cost reimbursement basis.</w:t>
      </w:r>
    </w:p>
    <w:p w14:paraId="75F42E20" w14:textId="77777777" w:rsidR="00426A6E" w:rsidRDefault="00426A6E" w:rsidP="00646E37">
      <w:pPr>
        <w:shd w:val="clear" w:color="auto" w:fill="FEFEFE"/>
        <w:spacing w:after="0" w:line="240" w:lineRule="auto"/>
        <w:jc w:val="both"/>
        <w:rPr>
          <w:rFonts w:ascii="Cambria" w:eastAsia="Times New Roman" w:hAnsi="Cambria" w:cstheme="minorHAnsi"/>
          <w:color w:val="444444"/>
        </w:rPr>
      </w:pPr>
    </w:p>
    <w:p w14:paraId="63DD3730" w14:textId="1CA0200C" w:rsidR="00646E37" w:rsidRPr="00AB0AC3" w:rsidRDefault="00426A6E" w:rsidP="00646E37">
      <w:pPr>
        <w:shd w:val="clear" w:color="auto" w:fill="FEFEFE"/>
        <w:spacing w:after="0" w:line="240" w:lineRule="auto"/>
        <w:ind w:left="720" w:hanging="720"/>
        <w:rPr>
          <w:rFonts w:ascii="Cambria" w:eastAsia="Times New Roman" w:hAnsi="Cambria" w:cstheme="minorHAnsi"/>
          <w:color w:val="444444"/>
          <w:u w:val="single"/>
        </w:rPr>
      </w:pPr>
      <w:r>
        <w:rPr>
          <w:rFonts w:ascii="Cambria" w:eastAsia="Times New Roman" w:hAnsi="Cambria" w:cstheme="minorHAnsi"/>
          <w:color w:val="444444"/>
        </w:rPr>
        <w:tab/>
      </w:r>
      <w:r w:rsidR="008234FC" w:rsidRPr="00AB0AC3">
        <w:rPr>
          <w:rFonts w:ascii="Cambria" w:eastAsia="Times New Roman" w:hAnsi="Cambria" w:cstheme="minorHAnsi"/>
          <w:color w:val="444444"/>
          <w:u w:val="single"/>
        </w:rPr>
        <w:t>Fiduciary Fund Types:</w:t>
      </w:r>
    </w:p>
    <w:p w14:paraId="0ACE9DB2" w14:textId="77777777" w:rsidR="008234FC" w:rsidRPr="00E11437" w:rsidRDefault="008234FC" w:rsidP="008234FC">
      <w:pPr>
        <w:shd w:val="clear" w:color="auto" w:fill="FEFEFE"/>
        <w:spacing w:after="0" w:line="276" w:lineRule="auto"/>
        <w:ind w:left="720"/>
        <w:rPr>
          <w:rFonts w:ascii="Times New Roman" w:eastAsia="Times New Roman" w:hAnsi="Times New Roman" w:cs="Times New Roman"/>
        </w:rPr>
      </w:pPr>
      <w:r w:rsidRPr="00E11437">
        <w:rPr>
          <w:rFonts w:ascii="Times New Roman" w:eastAsia="Times New Roman" w:hAnsi="Times New Roman" w:cs="Times New Roman"/>
        </w:rPr>
        <w:t>Fiduciary funds account for assets held by the government in a trustee capacity or as a custodian on behalf of others.</w:t>
      </w:r>
    </w:p>
    <w:p w14:paraId="45FA1BDD" w14:textId="77777777" w:rsidR="008234FC" w:rsidRDefault="008234FC" w:rsidP="00646E37">
      <w:pPr>
        <w:shd w:val="clear" w:color="auto" w:fill="FEFEFE"/>
        <w:spacing w:after="0" w:line="240" w:lineRule="auto"/>
        <w:ind w:left="720" w:hanging="720"/>
        <w:rPr>
          <w:rFonts w:ascii="Cambria" w:eastAsia="Times New Roman" w:hAnsi="Cambria" w:cstheme="minorHAnsi"/>
          <w:color w:val="444444"/>
        </w:rPr>
      </w:pPr>
    </w:p>
    <w:p w14:paraId="300DED32" w14:textId="389B1EA1" w:rsidR="006B22AC" w:rsidRDefault="00646E37" w:rsidP="00646E37">
      <w:pPr>
        <w:shd w:val="clear" w:color="auto" w:fill="FEFEFE"/>
        <w:spacing w:after="0" w:line="240" w:lineRule="auto"/>
        <w:ind w:left="720" w:hanging="720"/>
        <w:rPr>
          <w:rFonts w:ascii="Cambria" w:eastAsia="Times New Roman" w:hAnsi="Cambria" w:cstheme="minorHAnsi"/>
          <w:color w:val="444444"/>
        </w:rPr>
      </w:pPr>
      <w:r>
        <w:rPr>
          <w:rFonts w:ascii="Cambria" w:eastAsia="Times New Roman" w:hAnsi="Cambria" w:cstheme="minorHAnsi"/>
          <w:color w:val="444444"/>
        </w:rPr>
        <w:tab/>
      </w:r>
      <w:r w:rsidR="006B22AC" w:rsidRPr="00E54CCE">
        <w:rPr>
          <w:rFonts w:ascii="Cambria" w:eastAsia="Times New Roman" w:hAnsi="Cambria" w:cstheme="minorHAnsi"/>
          <w:color w:val="444444"/>
          <w:u w:val="single"/>
        </w:rPr>
        <w:t>Custodial Funds</w:t>
      </w:r>
      <w:r w:rsidR="006B22AC" w:rsidRPr="00E54CCE">
        <w:rPr>
          <w:rFonts w:ascii="Cambria" w:eastAsia="Times New Roman" w:hAnsi="Cambria" w:cstheme="minorHAnsi"/>
          <w:color w:val="444444"/>
          <w:u w:val="single"/>
        </w:rPr>
        <w:br/>
      </w:r>
      <w:r w:rsidR="006B22AC" w:rsidRPr="00E54CCE">
        <w:rPr>
          <w:rFonts w:ascii="Cambria" w:eastAsia="Times New Roman" w:hAnsi="Cambria" w:cstheme="minorHAnsi"/>
          <w:color w:val="444444"/>
        </w:rPr>
        <w:t>These funds are used to account assets that the government holds on behalf of others in a custodial capacity.</w:t>
      </w:r>
    </w:p>
    <w:p w14:paraId="0ADBCE2C" w14:textId="77777777" w:rsidR="00426A6E" w:rsidRPr="006B22AC" w:rsidRDefault="00426A6E" w:rsidP="00646E37">
      <w:pPr>
        <w:shd w:val="clear" w:color="auto" w:fill="FEFEFE"/>
        <w:spacing w:after="0" w:line="240" w:lineRule="auto"/>
        <w:ind w:left="720" w:hanging="720"/>
        <w:jc w:val="both"/>
        <w:rPr>
          <w:rFonts w:ascii="Cambria" w:eastAsia="Times New Roman" w:hAnsi="Cambria" w:cstheme="minorHAnsi"/>
          <w:color w:val="444444"/>
        </w:rPr>
      </w:pPr>
    </w:p>
    <w:p w14:paraId="21515655" w14:textId="77777777" w:rsidR="006B22AC" w:rsidRPr="00646E37" w:rsidRDefault="006B22AC" w:rsidP="00646E37">
      <w:pPr>
        <w:shd w:val="clear" w:color="auto" w:fill="FEFEFE"/>
        <w:spacing w:after="0" w:line="240" w:lineRule="auto"/>
        <w:jc w:val="both"/>
        <w:rPr>
          <w:rFonts w:ascii="Cambria" w:eastAsia="Times New Roman" w:hAnsi="Cambria" w:cstheme="minorHAnsi"/>
          <w:b/>
          <w:bCs/>
          <w:color w:val="444444"/>
          <w:u w:val="single"/>
        </w:rPr>
      </w:pPr>
      <w:r w:rsidRPr="00646E37">
        <w:rPr>
          <w:rFonts w:ascii="Cambria" w:eastAsia="Times New Roman" w:hAnsi="Cambria" w:cstheme="minorHAnsi"/>
          <w:b/>
          <w:bCs/>
          <w:color w:val="444444"/>
          <w:u w:val="single"/>
        </w:rPr>
        <w:t>B. Basis of Accounting and Measurement Focus</w:t>
      </w:r>
    </w:p>
    <w:p w14:paraId="1A07C296" w14:textId="7F977DF6" w:rsidR="006B22AC" w:rsidRPr="006B22AC" w:rsidRDefault="006B22AC" w:rsidP="00646E37">
      <w:pPr>
        <w:shd w:val="clear" w:color="auto" w:fill="FEFEFE"/>
        <w:spacing w:after="0" w:line="240" w:lineRule="auto"/>
        <w:jc w:val="both"/>
        <w:rPr>
          <w:rFonts w:ascii="Cambria" w:eastAsia="Times New Roman" w:hAnsi="Cambria" w:cstheme="minorHAnsi"/>
          <w:color w:val="444444"/>
        </w:rPr>
      </w:pPr>
      <w:r w:rsidRPr="006B22AC">
        <w:rPr>
          <w:rFonts w:ascii="Cambria" w:eastAsia="Times New Roman" w:hAnsi="Cambria" w:cstheme="minorHAnsi"/>
          <w:color w:val="444444"/>
        </w:rPr>
        <w:t xml:space="preserve">Financial statements are prepared using the cash basis of accounting and measurement focus. Revenues are recognized when cash is </w:t>
      </w:r>
      <w:r w:rsidR="00646E37" w:rsidRPr="006B22AC">
        <w:rPr>
          <w:rFonts w:ascii="Cambria" w:eastAsia="Times New Roman" w:hAnsi="Cambria" w:cstheme="minorHAnsi"/>
          <w:color w:val="444444"/>
        </w:rPr>
        <w:t>received,</w:t>
      </w:r>
      <w:r w:rsidRPr="006B22AC">
        <w:rPr>
          <w:rFonts w:ascii="Cambria" w:eastAsia="Times New Roman" w:hAnsi="Cambria" w:cstheme="minorHAnsi"/>
          <w:color w:val="444444"/>
        </w:rPr>
        <w:t xml:space="preserve"> and expenditures are recognized when paid.</w:t>
      </w:r>
      <w:r w:rsidR="00646E37">
        <w:rPr>
          <w:rFonts w:ascii="Cambria" w:eastAsia="Times New Roman" w:hAnsi="Cambria" w:cstheme="minorHAnsi"/>
          <w:color w:val="444444"/>
        </w:rPr>
        <w:t xml:space="preserve"> </w:t>
      </w:r>
      <w:r w:rsidRPr="006B22AC">
        <w:rPr>
          <w:rFonts w:ascii="Cambria" w:eastAsia="Times New Roman" w:hAnsi="Cambria" w:cstheme="minorHAnsi"/>
          <w:color w:val="444444"/>
        </w:rPr>
        <w:t xml:space="preserve">In accordance with state law the </w:t>
      </w:r>
      <w:r w:rsidR="00292F5D">
        <w:rPr>
          <w:rFonts w:ascii="Cambria" w:eastAsia="Times New Roman" w:hAnsi="Cambria" w:cstheme="minorHAnsi"/>
          <w:color w:val="444444"/>
        </w:rPr>
        <w:t>City of Napavine</w:t>
      </w:r>
      <w:r w:rsidRPr="006B22AC">
        <w:rPr>
          <w:rFonts w:ascii="Cambria" w:eastAsia="Times New Roman" w:hAnsi="Cambria" w:cstheme="minorHAnsi"/>
          <w:color w:val="444444"/>
        </w:rPr>
        <w:t> also recognizes expenditures paid during twenty days after the close of the fiscal year for claims incurred during the previous period.</w:t>
      </w:r>
    </w:p>
    <w:p w14:paraId="52D5432B" w14:textId="77777777" w:rsidR="00646E37" w:rsidRDefault="00646E37" w:rsidP="00646E37">
      <w:pPr>
        <w:shd w:val="clear" w:color="auto" w:fill="FEFEFE"/>
        <w:spacing w:after="0" w:line="240" w:lineRule="auto"/>
        <w:jc w:val="both"/>
        <w:rPr>
          <w:rFonts w:ascii="Cambria" w:eastAsia="Times New Roman" w:hAnsi="Cambria" w:cstheme="minorHAnsi"/>
          <w:color w:val="444444"/>
        </w:rPr>
      </w:pPr>
    </w:p>
    <w:p w14:paraId="36C0B070" w14:textId="60205121" w:rsidR="006B22AC" w:rsidRPr="00646E37" w:rsidRDefault="006B22AC" w:rsidP="00646E37">
      <w:pPr>
        <w:shd w:val="clear" w:color="auto" w:fill="FEFEFE"/>
        <w:spacing w:after="0" w:line="240" w:lineRule="auto"/>
        <w:jc w:val="both"/>
        <w:rPr>
          <w:rFonts w:ascii="Cambria" w:eastAsia="Times New Roman" w:hAnsi="Cambria" w:cstheme="minorHAnsi"/>
          <w:b/>
          <w:bCs/>
          <w:color w:val="444444"/>
          <w:u w:val="single"/>
        </w:rPr>
      </w:pPr>
      <w:r w:rsidRPr="00646E37">
        <w:rPr>
          <w:rFonts w:ascii="Cambria" w:eastAsia="Times New Roman" w:hAnsi="Cambria" w:cstheme="minorHAnsi"/>
          <w:b/>
          <w:bCs/>
          <w:color w:val="444444"/>
          <w:u w:val="single"/>
        </w:rPr>
        <w:t>C. Cash and Investments</w:t>
      </w:r>
    </w:p>
    <w:p w14:paraId="193D7828" w14:textId="332963DA" w:rsidR="006B22AC" w:rsidRPr="006B22AC" w:rsidRDefault="006B22AC" w:rsidP="00646E37">
      <w:pPr>
        <w:shd w:val="clear" w:color="auto" w:fill="FEFEFE"/>
        <w:spacing w:after="0" w:line="240" w:lineRule="auto"/>
        <w:jc w:val="both"/>
        <w:rPr>
          <w:rFonts w:ascii="Cambria" w:eastAsia="Times New Roman" w:hAnsi="Cambria" w:cstheme="minorHAnsi"/>
          <w:color w:val="444444"/>
        </w:rPr>
      </w:pPr>
      <w:r w:rsidRPr="006B22AC">
        <w:rPr>
          <w:rFonts w:ascii="Cambria" w:eastAsia="Times New Roman" w:hAnsi="Cambria" w:cstheme="minorHAnsi"/>
          <w:color w:val="444444"/>
        </w:rPr>
        <w:t>See </w:t>
      </w:r>
      <w:hyperlink r:id="rId9" w:history="1">
        <w:r w:rsidRPr="00AB0AC3">
          <w:rPr>
            <w:rFonts w:ascii="Cambria" w:eastAsia="Times New Roman" w:hAnsi="Cambria" w:cstheme="minorHAnsi"/>
          </w:rPr>
          <w:t xml:space="preserve">Note </w:t>
        </w:r>
        <w:r w:rsidR="00AD025A" w:rsidRPr="00AB0AC3">
          <w:rPr>
            <w:rFonts w:ascii="Cambria" w:eastAsia="Times New Roman" w:hAnsi="Cambria" w:cstheme="minorHAnsi"/>
          </w:rPr>
          <w:t>4</w:t>
        </w:r>
        <w:r w:rsidRPr="00AB0AC3">
          <w:rPr>
            <w:rFonts w:ascii="Cambria" w:eastAsia="Times New Roman" w:hAnsi="Cambria" w:cstheme="minorHAnsi"/>
          </w:rPr>
          <w:t xml:space="preserve"> –</w:t>
        </w:r>
        <w:r w:rsidRPr="00AD025A">
          <w:rPr>
            <w:rFonts w:ascii="Cambria" w:eastAsia="Times New Roman" w:hAnsi="Cambria" w:cstheme="minorHAnsi"/>
            <w:u w:val="single"/>
          </w:rPr>
          <w:t> </w:t>
        </w:r>
        <w:r w:rsidRPr="00AD025A">
          <w:rPr>
            <w:rFonts w:ascii="Cambria" w:eastAsia="Times New Roman" w:hAnsi="Cambria" w:cstheme="minorHAnsi"/>
            <w:i/>
            <w:iCs/>
          </w:rPr>
          <w:t>Deposits and Investments</w:t>
        </w:r>
      </w:hyperlink>
      <w:r w:rsidRPr="00AD025A">
        <w:rPr>
          <w:rFonts w:ascii="Cambria" w:eastAsia="Times New Roman" w:hAnsi="Cambria" w:cstheme="minorHAnsi"/>
        </w:rPr>
        <w:t>.</w:t>
      </w:r>
    </w:p>
    <w:p w14:paraId="29B5B2E5" w14:textId="77777777" w:rsidR="00646E37" w:rsidRDefault="00646E37" w:rsidP="00646E37">
      <w:pPr>
        <w:shd w:val="clear" w:color="auto" w:fill="FEFEFE"/>
        <w:spacing w:after="0" w:line="240" w:lineRule="auto"/>
        <w:jc w:val="both"/>
        <w:rPr>
          <w:rFonts w:ascii="Cambria" w:eastAsia="Times New Roman" w:hAnsi="Cambria" w:cstheme="minorHAnsi"/>
          <w:color w:val="444444"/>
        </w:rPr>
      </w:pPr>
    </w:p>
    <w:p w14:paraId="6637443C" w14:textId="71C83C14" w:rsidR="006B22AC" w:rsidRPr="00646E37" w:rsidRDefault="006B22AC" w:rsidP="00646E37">
      <w:pPr>
        <w:shd w:val="clear" w:color="auto" w:fill="FEFEFE"/>
        <w:spacing w:after="0" w:line="240" w:lineRule="auto"/>
        <w:jc w:val="both"/>
        <w:rPr>
          <w:rFonts w:ascii="Cambria" w:eastAsia="Times New Roman" w:hAnsi="Cambria" w:cstheme="minorHAnsi"/>
          <w:b/>
          <w:bCs/>
          <w:color w:val="444444"/>
          <w:u w:val="single"/>
        </w:rPr>
      </w:pPr>
      <w:r w:rsidRPr="00646E37">
        <w:rPr>
          <w:rFonts w:ascii="Cambria" w:eastAsia="Times New Roman" w:hAnsi="Cambria" w:cstheme="minorHAnsi"/>
          <w:b/>
          <w:bCs/>
          <w:color w:val="444444"/>
          <w:u w:val="single"/>
        </w:rPr>
        <w:t>D. Capital Assets</w:t>
      </w:r>
    </w:p>
    <w:p w14:paraId="7141AA5B" w14:textId="52003C08" w:rsidR="006B22AC" w:rsidRDefault="006B22AC" w:rsidP="00646E37">
      <w:pPr>
        <w:shd w:val="clear" w:color="auto" w:fill="FEFEFE"/>
        <w:spacing w:after="0" w:line="240" w:lineRule="auto"/>
        <w:jc w:val="both"/>
        <w:rPr>
          <w:rFonts w:ascii="Cambria" w:eastAsia="Times New Roman" w:hAnsi="Cambria" w:cstheme="minorHAnsi"/>
          <w:color w:val="444444"/>
        </w:rPr>
      </w:pPr>
      <w:r w:rsidRPr="006B22AC">
        <w:rPr>
          <w:rFonts w:ascii="Cambria" w:eastAsia="Times New Roman" w:hAnsi="Cambria" w:cstheme="minorHAnsi"/>
          <w:color w:val="444444"/>
        </w:rPr>
        <w:t>Capital assets are assets with an initial individual cost of more than $</w:t>
      </w:r>
      <w:r w:rsidR="00646E37">
        <w:rPr>
          <w:rFonts w:ascii="Cambria" w:eastAsia="Times New Roman" w:hAnsi="Cambria" w:cstheme="minorHAnsi"/>
          <w:color w:val="444444"/>
        </w:rPr>
        <w:t>5,000</w:t>
      </w:r>
      <w:r w:rsidRPr="006B22AC">
        <w:rPr>
          <w:rFonts w:ascii="Cambria" w:eastAsia="Times New Roman" w:hAnsi="Cambria" w:cstheme="minorHAnsi"/>
          <w:color w:val="444444"/>
        </w:rPr>
        <w:t xml:space="preserve"> and an estimated useful </w:t>
      </w:r>
      <w:proofErr w:type="gramStart"/>
      <w:r w:rsidRPr="006B22AC">
        <w:rPr>
          <w:rFonts w:ascii="Cambria" w:eastAsia="Times New Roman" w:hAnsi="Cambria" w:cstheme="minorHAnsi"/>
          <w:color w:val="444444"/>
        </w:rPr>
        <w:t>life</w:t>
      </w:r>
      <w:proofErr w:type="gramEnd"/>
      <w:r w:rsidRPr="006B22AC">
        <w:rPr>
          <w:rFonts w:ascii="Cambria" w:eastAsia="Times New Roman" w:hAnsi="Cambria" w:cstheme="minorHAnsi"/>
          <w:color w:val="444444"/>
        </w:rPr>
        <w:t xml:space="preserve"> </w:t>
      </w:r>
      <w:r w:rsidR="00646E37" w:rsidRPr="006B22AC">
        <w:rPr>
          <w:rFonts w:ascii="Cambria" w:eastAsia="Times New Roman" w:hAnsi="Cambria" w:cstheme="minorHAnsi"/>
          <w:color w:val="444444"/>
        </w:rPr>
        <w:t>more than</w:t>
      </w:r>
      <w:r w:rsidRPr="006B22AC">
        <w:rPr>
          <w:rFonts w:ascii="Cambria" w:eastAsia="Times New Roman" w:hAnsi="Cambria" w:cstheme="minorHAnsi"/>
          <w:color w:val="444444"/>
        </w:rPr>
        <w:t xml:space="preserve"> </w:t>
      </w:r>
      <w:r w:rsidR="00646E37">
        <w:rPr>
          <w:rFonts w:ascii="Cambria" w:eastAsia="Times New Roman" w:hAnsi="Cambria" w:cstheme="minorHAnsi"/>
          <w:color w:val="444444"/>
        </w:rPr>
        <w:t>one</w:t>
      </w:r>
      <w:r w:rsidR="008234FC">
        <w:rPr>
          <w:rFonts w:ascii="Cambria" w:eastAsia="Times New Roman" w:hAnsi="Cambria" w:cstheme="minorHAnsi"/>
          <w:color w:val="444444"/>
        </w:rPr>
        <w:t xml:space="preserve"> (1)</w:t>
      </w:r>
      <w:r w:rsidRPr="006B22AC">
        <w:rPr>
          <w:rFonts w:ascii="Cambria" w:eastAsia="Times New Roman" w:hAnsi="Cambria" w:cstheme="minorHAnsi"/>
          <w:color w:val="444444"/>
        </w:rPr>
        <w:t xml:space="preserve"> year</w:t>
      </w:r>
      <w:r w:rsidR="00646E37">
        <w:rPr>
          <w:rFonts w:ascii="Cambria" w:eastAsia="Times New Roman" w:hAnsi="Cambria" w:cstheme="minorHAnsi"/>
          <w:color w:val="444444"/>
        </w:rPr>
        <w:t>.</w:t>
      </w:r>
      <w:r w:rsidRPr="006B22AC">
        <w:rPr>
          <w:rFonts w:ascii="Cambria" w:eastAsia="Times New Roman" w:hAnsi="Cambria" w:cstheme="minorHAnsi"/>
          <w:color w:val="444444"/>
        </w:rPr>
        <w:t xml:space="preserve"> Capital assets and inventory are recorded as capital expenditures when purchased.</w:t>
      </w:r>
    </w:p>
    <w:p w14:paraId="6C0F2411" w14:textId="77777777" w:rsidR="00646E37" w:rsidRPr="006B22AC" w:rsidRDefault="00646E37" w:rsidP="00646E37">
      <w:pPr>
        <w:shd w:val="clear" w:color="auto" w:fill="FEFEFE"/>
        <w:spacing w:after="0" w:line="240" w:lineRule="auto"/>
        <w:jc w:val="both"/>
        <w:rPr>
          <w:rFonts w:ascii="Cambria" w:eastAsia="Times New Roman" w:hAnsi="Cambria" w:cstheme="minorHAnsi"/>
          <w:color w:val="444444"/>
        </w:rPr>
      </w:pPr>
    </w:p>
    <w:p w14:paraId="7F3148DC" w14:textId="77777777" w:rsidR="006B22AC" w:rsidRPr="008234FC" w:rsidRDefault="006B22AC" w:rsidP="00646E37">
      <w:pPr>
        <w:shd w:val="clear" w:color="auto" w:fill="FEFEFE"/>
        <w:spacing w:after="0" w:line="240" w:lineRule="auto"/>
        <w:jc w:val="both"/>
        <w:rPr>
          <w:rFonts w:ascii="Cambria" w:eastAsia="Times New Roman" w:hAnsi="Cambria" w:cstheme="minorHAnsi"/>
          <w:b/>
          <w:bCs/>
          <w:color w:val="444444"/>
          <w:u w:val="single"/>
        </w:rPr>
      </w:pPr>
      <w:r w:rsidRPr="008234FC">
        <w:rPr>
          <w:rFonts w:ascii="Cambria" w:eastAsia="Times New Roman" w:hAnsi="Cambria" w:cstheme="minorHAnsi"/>
          <w:b/>
          <w:bCs/>
          <w:color w:val="444444"/>
          <w:u w:val="single"/>
        </w:rPr>
        <w:t>E. Compensated Absences</w:t>
      </w:r>
    </w:p>
    <w:p w14:paraId="20C51E07" w14:textId="0EED5FB5" w:rsidR="006B22AC" w:rsidRPr="006B22AC" w:rsidRDefault="006B22AC" w:rsidP="00646E37">
      <w:pPr>
        <w:shd w:val="clear" w:color="auto" w:fill="FEFEFE"/>
        <w:spacing w:after="0" w:line="240" w:lineRule="auto"/>
        <w:jc w:val="both"/>
        <w:rPr>
          <w:rFonts w:ascii="Cambria" w:eastAsia="Times New Roman" w:hAnsi="Cambria" w:cstheme="minorHAnsi"/>
          <w:color w:val="444444"/>
        </w:rPr>
      </w:pPr>
      <w:r w:rsidRPr="006B22AC">
        <w:rPr>
          <w:rFonts w:ascii="Cambria" w:eastAsia="Times New Roman" w:hAnsi="Cambria" w:cstheme="minorHAnsi"/>
          <w:color w:val="444444"/>
        </w:rPr>
        <w:t xml:space="preserve">Vacation leave may be accumulated up to </w:t>
      </w:r>
      <w:r w:rsidR="008234FC">
        <w:rPr>
          <w:rFonts w:ascii="Cambria" w:eastAsia="Times New Roman" w:hAnsi="Cambria" w:cstheme="minorHAnsi"/>
          <w:color w:val="444444"/>
        </w:rPr>
        <w:t>240 hours or 30</w:t>
      </w:r>
      <w:r w:rsidRPr="006B22AC">
        <w:rPr>
          <w:rFonts w:ascii="Cambria" w:eastAsia="Times New Roman" w:hAnsi="Cambria" w:cstheme="minorHAnsi"/>
          <w:color w:val="444444"/>
        </w:rPr>
        <w:t xml:space="preserve"> days</w:t>
      </w:r>
      <w:r w:rsidR="008234FC">
        <w:rPr>
          <w:rFonts w:ascii="Cambria" w:eastAsia="Times New Roman" w:hAnsi="Cambria" w:cstheme="minorHAnsi"/>
          <w:color w:val="444444"/>
        </w:rPr>
        <w:t xml:space="preserve"> for employees covered under the Collective Bargaining Agreement</w:t>
      </w:r>
      <w:r w:rsidRPr="006B22AC">
        <w:rPr>
          <w:rFonts w:ascii="Cambria" w:eastAsia="Times New Roman" w:hAnsi="Cambria" w:cstheme="minorHAnsi"/>
          <w:color w:val="444444"/>
        </w:rPr>
        <w:t xml:space="preserve"> and </w:t>
      </w:r>
      <w:r w:rsidRPr="008234FC">
        <w:rPr>
          <w:rFonts w:ascii="Cambria" w:eastAsia="Times New Roman" w:hAnsi="Cambria" w:cstheme="minorHAnsi"/>
          <w:color w:val="444444"/>
        </w:rPr>
        <w:t>is</w:t>
      </w:r>
      <w:r w:rsidRPr="006B22AC">
        <w:rPr>
          <w:rFonts w:ascii="Cambria" w:eastAsia="Times New Roman" w:hAnsi="Cambria" w:cstheme="minorHAnsi"/>
          <w:color w:val="444444"/>
        </w:rPr>
        <w:t xml:space="preserve"> payable upon separation or retirement. </w:t>
      </w:r>
      <w:r w:rsidR="008234FC">
        <w:rPr>
          <w:rFonts w:ascii="Cambria" w:eastAsia="Times New Roman" w:hAnsi="Cambria" w:cstheme="minorHAnsi"/>
          <w:color w:val="444444"/>
        </w:rPr>
        <w:t xml:space="preserve">Vacation leave may be accumulated </w:t>
      </w:r>
      <w:r w:rsidR="00214A35">
        <w:rPr>
          <w:rFonts w:ascii="Cambria" w:eastAsia="Times New Roman" w:hAnsi="Cambria" w:cstheme="minorHAnsi"/>
          <w:color w:val="444444"/>
        </w:rPr>
        <w:t xml:space="preserve">for non-represented employees based on length of service with an accrual cap and cash out limitations per city policy. An annual vacation schedule is provided for employees with one to twenty years of service with the city. Vacation may be accumulated ranging from 104 hours or 13 days to 240 hours or 30 days and is payable upon separation or retirement. </w:t>
      </w:r>
      <w:r w:rsidRPr="006B22AC">
        <w:rPr>
          <w:rFonts w:ascii="Cambria" w:eastAsia="Times New Roman" w:hAnsi="Cambria" w:cstheme="minorHAnsi"/>
          <w:color w:val="444444"/>
        </w:rPr>
        <w:t xml:space="preserve">Sick leave may be accumulated </w:t>
      </w:r>
      <w:r w:rsidRPr="006B22AC">
        <w:rPr>
          <w:rFonts w:ascii="Cambria" w:eastAsia="Times New Roman" w:hAnsi="Cambria" w:cstheme="minorHAnsi"/>
          <w:color w:val="444444"/>
          <w:u w:val="single"/>
        </w:rPr>
        <w:t xml:space="preserve">up to </w:t>
      </w:r>
      <w:r w:rsidR="0050794C">
        <w:rPr>
          <w:rFonts w:ascii="Cambria" w:eastAsia="Times New Roman" w:hAnsi="Cambria" w:cstheme="minorHAnsi"/>
          <w:color w:val="444444"/>
          <w:u w:val="single"/>
        </w:rPr>
        <w:t>1,040</w:t>
      </w:r>
      <w:r w:rsidRPr="006B22AC">
        <w:rPr>
          <w:rFonts w:ascii="Cambria" w:eastAsia="Times New Roman" w:hAnsi="Cambria" w:cstheme="minorHAnsi"/>
          <w:color w:val="444444"/>
          <w:u w:val="single"/>
        </w:rPr>
        <w:t xml:space="preserve"> hours</w:t>
      </w:r>
      <w:r w:rsidRPr="006B22AC">
        <w:rPr>
          <w:rFonts w:ascii="Cambria" w:eastAsia="Times New Roman" w:hAnsi="Cambria" w:cstheme="minorHAnsi"/>
          <w:color w:val="444444"/>
        </w:rPr>
        <w:t xml:space="preserve">. Upon separation or retirement employees </w:t>
      </w:r>
      <w:r w:rsidRPr="006B22AC">
        <w:rPr>
          <w:rFonts w:ascii="Cambria" w:eastAsia="Times New Roman" w:hAnsi="Cambria" w:cstheme="minorHAnsi"/>
          <w:color w:val="444444"/>
          <w:u w:val="single"/>
        </w:rPr>
        <w:t>do not</w:t>
      </w:r>
      <w:r w:rsidRPr="006B22AC">
        <w:rPr>
          <w:rFonts w:ascii="Cambria" w:eastAsia="Times New Roman" w:hAnsi="Cambria" w:cstheme="minorHAnsi"/>
          <w:color w:val="444444"/>
        </w:rPr>
        <w:t xml:space="preserve"> receive payment for unused sick leave. Payments are recognized as expenditures when paid.</w:t>
      </w:r>
    </w:p>
    <w:p w14:paraId="3DD73F46" w14:textId="77777777" w:rsidR="0050794C" w:rsidRDefault="0050794C" w:rsidP="00646E37">
      <w:pPr>
        <w:shd w:val="clear" w:color="auto" w:fill="FEFEFE"/>
        <w:spacing w:after="0" w:line="240" w:lineRule="auto"/>
        <w:jc w:val="both"/>
        <w:rPr>
          <w:rFonts w:ascii="Cambria" w:eastAsia="Times New Roman" w:hAnsi="Cambria" w:cstheme="minorHAnsi"/>
          <w:color w:val="444444"/>
        </w:rPr>
      </w:pPr>
    </w:p>
    <w:p w14:paraId="451DC0FE" w14:textId="437D6D4F" w:rsidR="006B22AC" w:rsidRPr="0050794C" w:rsidRDefault="006B22AC" w:rsidP="00646E37">
      <w:pPr>
        <w:shd w:val="clear" w:color="auto" w:fill="FEFEFE"/>
        <w:spacing w:after="0" w:line="240" w:lineRule="auto"/>
        <w:jc w:val="both"/>
        <w:rPr>
          <w:rFonts w:ascii="Cambria" w:eastAsia="Times New Roman" w:hAnsi="Cambria" w:cstheme="minorHAnsi"/>
          <w:b/>
          <w:bCs/>
          <w:color w:val="444444"/>
          <w:u w:val="single"/>
        </w:rPr>
      </w:pPr>
      <w:r w:rsidRPr="0050794C">
        <w:rPr>
          <w:rFonts w:ascii="Cambria" w:eastAsia="Times New Roman" w:hAnsi="Cambria" w:cstheme="minorHAnsi"/>
          <w:b/>
          <w:bCs/>
          <w:color w:val="444444"/>
          <w:u w:val="single"/>
        </w:rPr>
        <w:t>F. Long-Term Debt</w:t>
      </w:r>
    </w:p>
    <w:p w14:paraId="2181B0EF" w14:textId="743951D5" w:rsidR="006B22AC" w:rsidRPr="006B22AC" w:rsidRDefault="006B22AC" w:rsidP="00646E37">
      <w:pPr>
        <w:shd w:val="clear" w:color="auto" w:fill="FEFEFE"/>
        <w:spacing w:after="0" w:line="240" w:lineRule="auto"/>
        <w:jc w:val="both"/>
        <w:rPr>
          <w:rFonts w:ascii="Cambria" w:eastAsia="Times New Roman" w:hAnsi="Cambria" w:cstheme="minorHAnsi"/>
          <w:color w:val="444444"/>
        </w:rPr>
      </w:pPr>
      <w:r w:rsidRPr="006B22AC">
        <w:rPr>
          <w:rFonts w:ascii="Cambria" w:eastAsia="Times New Roman" w:hAnsi="Cambria" w:cstheme="minorHAnsi"/>
          <w:color w:val="444444"/>
        </w:rPr>
        <w:t>See </w:t>
      </w:r>
      <w:hyperlink r:id="rId10" w:history="1">
        <w:r w:rsidRPr="00AB0AC3">
          <w:rPr>
            <w:rFonts w:ascii="Cambria" w:eastAsia="Times New Roman" w:hAnsi="Cambria" w:cstheme="minorHAnsi"/>
          </w:rPr>
          <w:t xml:space="preserve">Note </w:t>
        </w:r>
        <w:r w:rsidR="00881D26" w:rsidRPr="00AB0AC3">
          <w:rPr>
            <w:rFonts w:ascii="Cambria" w:eastAsia="Times New Roman" w:hAnsi="Cambria" w:cstheme="minorHAnsi"/>
          </w:rPr>
          <w:t>6</w:t>
        </w:r>
        <w:r w:rsidRPr="00AB0AC3">
          <w:rPr>
            <w:rFonts w:ascii="Cambria" w:eastAsia="Times New Roman" w:hAnsi="Cambria" w:cstheme="minorHAnsi"/>
          </w:rPr>
          <w:t xml:space="preserve"> – Long-term Debt (</w:t>
        </w:r>
        <w:r w:rsidRPr="008D4B6C">
          <w:rPr>
            <w:rFonts w:ascii="Cambria" w:eastAsia="Times New Roman" w:hAnsi="Cambria" w:cstheme="minorHAnsi"/>
            <w:i/>
            <w:iCs/>
          </w:rPr>
          <w:t>Formerly Debt Service Requirement</w:t>
        </w:r>
        <w:r w:rsidRPr="008D4B6C">
          <w:rPr>
            <w:rFonts w:ascii="Cambria" w:eastAsia="Times New Roman" w:hAnsi="Cambria" w:cstheme="minorHAnsi"/>
            <w:u w:val="single"/>
          </w:rPr>
          <w:t>s)</w:t>
        </w:r>
      </w:hyperlink>
      <w:r w:rsidRPr="008D4B6C">
        <w:rPr>
          <w:rFonts w:ascii="Cambria" w:eastAsia="Times New Roman" w:hAnsi="Cambria" w:cstheme="minorHAnsi"/>
        </w:rPr>
        <w:t>.</w:t>
      </w:r>
    </w:p>
    <w:p w14:paraId="616F8134" w14:textId="77777777" w:rsidR="0050794C" w:rsidRDefault="0050794C" w:rsidP="00646E37">
      <w:pPr>
        <w:shd w:val="clear" w:color="auto" w:fill="FEFEFE"/>
        <w:spacing w:after="0" w:line="240" w:lineRule="auto"/>
        <w:jc w:val="both"/>
        <w:rPr>
          <w:rFonts w:ascii="Cambria" w:eastAsia="Times New Roman" w:hAnsi="Cambria" w:cstheme="minorHAnsi"/>
          <w:color w:val="444444"/>
        </w:rPr>
      </w:pPr>
    </w:p>
    <w:p w14:paraId="076D8071" w14:textId="15DA9CD0" w:rsidR="006B22AC" w:rsidRPr="0050794C" w:rsidRDefault="006B22AC" w:rsidP="00646E37">
      <w:pPr>
        <w:shd w:val="clear" w:color="auto" w:fill="FEFEFE"/>
        <w:spacing w:after="0" w:line="240" w:lineRule="auto"/>
        <w:jc w:val="both"/>
        <w:rPr>
          <w:rFonts w:ascii="Cambria" w:eastAsia="Times New Roman" w:hAnsi="Cambria" w:cstheme="minorHAnsi"/>
          <w:b/>
          <w:bCs/>
          <w:color w:val="444444"/>
          <w:u w:val="single"/>
        </w:rPr>
      </w:pPr>
      <w:r w:rsidRPr="0050794C">
        <w:rPr>
          <w:rFonts w:ascii="Cambria" w:eastAsia="Times New Roman" w:hAnsi="Cambria" w:cstheme="minorHAnsi"/>
          <w:b/>
          <w:bCs/>
          <w:color w:val="444444"/>
          <w:u w:val="single"/>
        </w:rPr>
        <w:t>G. Restricted and Committed Portion of Ending Cash and Investments</w:t>
      </w:r>
    </w:p>
    <w:p w14:paraId="0EE52AB2" w14:textId="4A530105" w:rsidR="006B22AC" w:rsidRPr="006B22AC" w:rsidRDefault="006B22AC" w:rsidP="00646E37">
      <w:pPr>
        <w:shd w:val="clear" w:color="auto" w:fill="FEFEFE"/>
        <w:spacing w:after="0" w:line="240" w:lineRule="auto"/>
        <w:jc w:val="both"/>
        <w:rPr>
          <w:rFonts w:ascii="Cambria" w:eastAsia="Times New Roman" w:hAnsi="Cambria" w:cstheme="minorHAnsi"/>
          <w:color w:val="444444"/>
        </w:rPr>
      </w:pPr>
      <w:r w:rsidRPr="006B22AC">
        <w:rPr>
          <w:rFonts w:ascii="Cambria" w:eastAsia="Times New Roman" w:hAnsi="Cambria" w:cstheme="minorHAnsi"/>
          <w:color w:val="444444"/>
        </w:rPr>
        <w:t xml:space="preserve">Beginning and Ending Cash and Investments are reported as restricted or committed when it is subject to restrictions on use imposed by external parties or due to internal commitments established </w:t>
      </w:r>
      <w:r w:rsidRPr="006B22AC">
        <w:rPr>
          <w:rFonts w:ascii="Cambria" w:eastAsia="Times New Roman" w:hAnsi="Cambria" w:cstheme="minorHAnsi"/>
          <w:color w:val="444444"/>
        </w:rPr>
        <w:lastRenderedPageBreak/>
        <w:t xml:space="preserve">by </w:t>
      </w:r>
      <w:r w:rsidR="0050794C">
        <w:rPr>
          <w:rFonts w:ascii="Cambria" w:eastAsia="Times New Roman" w:hAnsi="Cambria" w:cstheme="minorHAnsi"/>
          <w:color w:val="444444"/>
        </w:rPr>
        <w:t>ordinances or resolutions approved by Napavine City Council</w:t>
      </w:r>
      <w:r w:rsidRPr="006B22AC">
        <w:rPr>
          <w:rFonts w:ascii="Cambria" w:eastAsia="Times New Roman" w:hAnsi="Cambria" w:cstheme="minorHAnsi"/>
          <w:color w:val="444444"/>
        </w:rPr>
        <w:t xml:space="preserve">. When expenditures that meet restrictions are incurred, the </w:t>
      </w:r>
      <w:r w:rsidR="0050794C">
        <w:rPr>
          <w:rFonts w:ascii="Cambria" w:eastAsia="Times New Roman" w:hAnsi="Cambria" w:cstheme="minorHAnsi"/>
          <w:color w:val="444444"/>
        </w:rPr>
        <w:t>city</w:t>
      </w:r>
      <w:r w:rsidRPr="006B22AC">
        <w:rPr>
          <w:rFonts w:ascii="Cambria" w:eastAsia="Times New Roman" w:hAnsi="Cambria" w:cstheme="minorHAnsi"/>
          <w:color w:val="444444"/>
        </w:rPr>
        <w:t xml:space="preserve"> intends to use the most restricted resources first.</w:t>
      </w:r>
    </w:p>
    <w:p w14:paraId="37797025" w14:textId="03689310" w:rsidR="0050794C" w:rsidRDefault="006B22AC" w:rsidP="00646E37">
      <w:pPr>
        <w:shd w:val="clear" w:color="auto" w:fill="FEFEFE"/>
        <w:spacing w:after="0" w:line="240" w:lineRule="auto"/>
        <w:jc w:val="both"/>
        <w:rPr>
          <w:rFonts w:ascii="Cambria" w:eastAsia="Times New Roman" w:hAnsi="Cambria" w:cstheme="minorHAnsi"/>
          <w:color w:val="444444"/>
        </w:rPr>
      </w:pPr>
      <w:r w:rsidRPr="006B22AC">
        <w:rPr>
          <w:rFonts w:ascii="Cambria" w:eastAsia="Times New Roman" w:hAnsi="Cambria" w:cstheme="minorHAnsi"/>
          <w:color w:val="444444"/>
        </w:rPr>
        <w:t>Restrictions and commitments of Ending Cash and Investments consist of</w:t>
      </w:r>
      <w:r w:rsidR="0050794C">
        <w:rPr>
          <w:rFonts w:ascii="Cambria" w:eastAsia="Times New Roman" w:hAnsi="Cambria" w:cstheme="minorHAnsi"/>
          <w:color w:val="444444"/>
        </w:rPr>
        <w:t xml:space="preserve"> the following:</w:t>
      </w:r>
    </w:p>
    <w:p w14:paraId="7718C51D" w14:textId="77777777" w:rsidR="00867849" w:rsidRDefault="00867849" w:rsidP="00646E37">
      <w:pPr>
        <w:shd w:val="clear" w:color="auto" w:fill="FEFEFE"/>
        <w:spacing w:after="0" w:line="240" w:lineRule="auto"/>
        <w:jc w:val="both"/>
        <w:rPr>
          <w:rFonts w:ascii="Cambria" w:eastAsia="Times New Roman" w:hAnsi="Cambria" w:cstheme="minorHAnsi"/>
          <w:color w:val="444444"/>
        </w:rPr>
      </w:pPr>
    </w:p>
    <w:tbl>
      <w:tblPr>
        <w:tblW w:w="9350" w:type="dxa"/>
        <w:tblLook w:val="04A0" w:firstRow="1" w:lastRow="0" w:firstColumn="1" w:lastColumn="0" w:noHBand="0" w:noVBand="1"/>
      </w:tblPr>
      <w:tblGrid>
        <w:gridCol w:w="2150"/>
        <w:gridCol w:w="1530"/>
        <w:gridCol w:w="2700"/>
        <w:gridCol w:w="2970"/>
      </w:tblGrid>
      <w:tr w:rsidR="00867849" w:rsidRPr="00867849" w14:paraId="412DF036" w14:textId="77777777" w:rsidTr="00867849">
        <w:trPr>
          <w:trHeight w:val="205"/>
        </w:trPr>
        <w:tc>
          <w:tcPr>
            <w:tcW w:w="9350"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00686D18" w14:textId="77777777" w:rsidR="00867849" w:rsidRPr="00867849" w:rsidRDefault="00867849" w:rsidP="00867849">
            <w:pPr>
              <w:spacing w:after="0" w:line="240" w:lineRule="auto"/>
              <w:jc w:val="center"/>
              <w:rPr>
                <w:rFonts w:ascii="Calibri" w:eastAsia="Times New Roman" w:hAnsi="Calibri" w:cs="Calibri"/>
                <w:b/>
                <w:bCs/>
                <w:color w:val="000000"/>
                <w:sz w:val="28"/>
                <w:szCs w:val="28"/>
              </w:rPr>
            </w:pPr>
            <w:r w:rsidRPr="00867849">
              <w:rPr>
                <w:rFonts w:ascii="Calibri" w:eastAsia="Times New Roman" w:hAnsi="Calibri" w:cs="Calibri"/>
                <w:b/>
                <w:bCs/>
                <w:color w:val="000000"/>
                <w:sz w:val="28"/>
                <w:szCs w:val="28"/>
              </w:rPr>
              <w:t xml:space="preserve">2024 Actual Restricted Funds </w:t>
            </w:r>
          </w:p>
        </w:tc>
      </w:tr>
      <w:tr w:rsidR="00867849" w:rsidRPr="00867849" w14:paraId="31D04772" w14:textId="77777777" w:rsidTr="00867849">
        <w:trPr>
          <w:trHeight w:val="300"/>
        </w:trPr>
        <w:tc>
          <w:tcPr>
            <w:tcW w:w="9350" w:type="dxa"/>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A650DD4" w14:textId="77777777" w:rsidR="00867849" w:rsidRPr="00867849" w:rsidRDefault="00867849" w:rsidP="00867849">
            <w:pPr>
              <w:spacing w:after="0" w:line="240" w:lineRule="auto"/>
              <w:jc w:val="center"/>
              <w:rPr>
                <w:rFonts w:ascii="Cambria" w:eastAsia="Times New Roman" w:hAnsi="Cambria" w:cs="Calibri"/>
                <w:b/>
                <w:bCs/>
                <w:color w:val="000000"/>
                <w:sz w:val="20"/>
                <w:szCs w:val="20"/>
              </w:rPr>
            </w:pPr>
            <w:r w:rsidRPr="00867849">
              <w:rPr>
                <w:rFonts w:ascii="Cambria" w:eastAsia="Times New Roman" w:hAnsi="Cambria" w:cs="Calibri"/>
                <w:b/>
                <w:bCs/>
                <w:color w:val="000000"/>
                <w:sz w:val="20"/>
                <w:szCs w:val="20"/>
              </w:rPr>
              <w:t>General Fund</w:t>
            </w:r>
          </w:p>
        </w:tc>
      </w:tr>
      <w:tr w:rsidR="00867849" w:rsidRPr="00867849" w14:paraId="5E20E23D" w14:textId="77777777" w:rsidTr="00867849">
        <w:trPr>
          <w:trHeight w:val="300"/>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1E51BA8E"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Resource</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406EA0C5"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RCW</w:t>
            </w:r>
          </w:p>
        </w:tc>
        <w:tc>
          <w:tcPr>
            <w:tcW w:w="2700" w:type="dxa"/>
            <w:tcBorders>
              <w:top w:val="single" w:sz="4" w:space="0" w:color="auto"/>
              <w:left w:val="nil"/>
              <w:bottom w:val="single" w:sz="4" w:space="0" w:color="auto"/>
              <w:right w:val="single" w:sz="4" w:space="0" w:color="auto"/>
            </w:tcBorders>
            <w:shd w:val="clear" w:color="auto" w:fill="auto"/>
            <w:vAlign w:val="bottom"/>
            <w:hideMark/>
          </w:tcPr>
          <w:p w14:paraId="6F1A6E78" w14:textId="77777777" w:rsidR="00867849" w:rsidRPr="00867849" w:rsidRDefault="00867849" w:rsidP="00867849">
            <w:pPr>
              <w:spacing w:after="0" w:line="240" w:lineRule="auto"/>
              <w:jc w:val="center"/>
              <w:rPr>
                <w:rFonts w:ascii="Calibri" w:eastAsia="Times New Roman" w:hAnsi="Calibri" w:cs="Calibri"/>
                <w:color w:val="000000"/>
                <w:sz w:val="18"/>
                <w:szCs w:val="18"/>
              </w:rPr>
            </w:pPr>
            <w:r w:rsidRPr="00867849">
              <w:rPr>
                <w:rFonts w:ascii="Calibri" w:eastAsia="Times New Roman" w:hAnsi="Calibri" w:cs="Calibri"/>
                <w:color w:val="000000"/>
                <w:sz w:val="18"/>
                <w:szCs w:val="18"/>
              </w:rPr>
              <w:t>Use</w:t>
            </w:r>
          </w:p>
        </w:tc>
        <w:tc>
          <w:tcPr>
            <w:tcW w:w="2970" w:type="dxa"/>
            <w:tcBorders>
              <w:top w:val="nil"/>
              <w:left w:val="nil"/>
              <w:bottom w:val="single" w:sz="4" w:space="0" w:color="auto"/>
              <w:right w:val="single" w:sz="8" w:space="0" w:color="auto"/>
            </w:tcBorders>
            <w:shd w:val="clear" w:color="auto" w:fill="auto"/>
            <w:noWrap/>
            <w:vAlign w:val="bottom"/>
            <w:hideMark/>
          </w:tcPr>
          <w:p w14:paraId="640CE7AE"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 xml:space="preserve"> End Balance </w:t>
            </w:r>
          </w:p>
        </w:tc>
      </w:tr>
      <w:tr w:rsidR="00867849" w:rsidRPr="00867849" w14:paraId="3C971051" w14:textId="77777777" w:rsidTr="00867849">
        <w:trPr>
          <w:trHeight w:val="495"/>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2E942ACF"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Liquor Excise Tax</w:t>
            </w:r>
          </w:p>
        </w:tc>
        <w:tc>
          <w:tcPr>
            <w:tcW w:w="1530" w:type="dxa"/>
            <w:tcBorders>
              <w:top w:val="nil"/>
              <w:left w:val="nil"/>
              <w:bottom w:val="single" w:sz="4" w:space="0" w:color="auto"/>
              <w:right w:val="single" w:sz="4" w:space="0" w:color="auto"/>
            </w:tcBorders>
            <w:shd w:val="clear" w:color="auto" w:fill="auto"/>
            <w:noWrap/>
            <w:vAlign w:val="bottom"/>
            <w:hideMark/>
          </w:tcPr>
          <w:p w14:paraId="053B0937" w14:textId="77777777" w:rsidR="00867849" w:rsidRPr="00867849" w:rsidRDefault="00867849" w:rsidP="00867849">
            <w:pPr>
              <w:spacing w:after="0" w:line="240" w:lineRule="auto"/>
              <w:jc w:val="center"/>
              <w:rPr>
                <w:rFonts w:ascii="Calibri" w:eastAsia="Times New Roman" w:hAnsi="Calibri" w:cs="Calibri"/>
                <w:b/>
                <w:bCs/>
                <w:color w:val="000000"/>
                <w:sz w:val="20"/>
                <w:szCs w:val="20"/>
              </w:rPr>
            </w:pPr>
            <w:r w:rsidRPr="00867849">
              <w:rPr>
                <w:rFonts w:ascii="Calibri" w:eastAsia="Times New Roman" w:hAnsi="Calibri" w:cs="Calibri"/>
                <w:b/>
                <w:bCs/>
                <w:color w:val="000000"/>
                <w:sz w:val="20"/>
                <w:szCs w:val="20"/>
              </w:rPr>
              <w:t>70.96A.087</w:t>
            </w:r>
          </w:p>
        </w:tc>
        <w:tc>
          <w:tcPr>
            <w:tcW w:w="2700" w:type="dxa"/>
            <w:tcBorders>
              <w:top w:val="nil"/>
              <w:left w:val="nil"/>
              <w:bottom w:val="single" w:sz="4" w:space="0" w:color="auto"/>
              <w:right w:val="single" w:sz="4" w:space="0" w:color="auto"/>
            </w:tcBorders>
            <w:shd w:val="clear" w:color="auto" w:fill="auto"/>
            <w:vAlign w:val="bottom"/>
            <w:hideMark/>
          </w:tcPr>
          <w:p w14:paraId="44DD376E"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2% Substance abuse treatments</w:t>
            </w:r>
          </w:p>
        </w:tc>
        <w:tc>
          <w:tcPr>
            <w:tcW w:w="2970" w:type="dxa"/>
            <w:tcBorders>
              <w:top w:val="nil"/>
              <w:left w:val="nil"/>
              <w:bottom w:val="single" w:sz="4" w:space="0" w:color="auto"/>
              <w:right w:val="single" w:sz="8" w:space="0" w:color="auto"/>
            </w:tcBorders>
            <w:shd w:val="clear" w:color="auto" w:fill="auto"/>
            <w:noWrap/>
            <w:vAlign w:val="bottom"/>
            <w:hideMark/>
          </w:tcPr>
          <w:p w14:paraId="75A4567E"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   </w:t>
            </w:r>
          </w:p>
        </w:tc>
      </w:tr>
      <w:tr w:rsidR="00867849" w:rsidRPr="00867849" w14:paraId="187136BF" w14:textId="77777777" w:rsidTr="00867849">
        <w:trPr>
          <w:trHeight w:val="495"/>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0A59C6AD"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 xml:space="preserve">Liquor Board Profits </w:t>
            </w:r>
          </w:p>
        </w:tc>
        <w:tc>
          <w:tcPr>
            <w:tcW w:w="1530" w:type="dxa"/>
            <w:tcBorders>
              <w:top w:val="nil"/>
              <w:left w:val="nil"/>
              <w:bottom w:val="single" w:sz="4" w:space="0" w:color="auto"/>
              <w:right w:val="single" w:sz="4" w:space="0" w:color="auto"/>
            </w:tcBorders>
            <w:shd w:val="clear" w:color="auto" w:fill="auto"/>
            <w:noWrap/>
            <w:vAlign w:val="bottom"/>
            <w:hideMark/>
          </w:tcPr>
          <w:p w14:paraId="312786C2" w14:textId="77777777" w:rsidR="00867849" w:rsidRPr="00867849" w:rsidRDefault="00867849" w:rsidP="00867849">
            <w:pPr>
              <w:spacing w:after="0" w:line="240" w:lineRule="auto"/>
              <w:jc w:val="center"/>
              <w:rPr>
                <w:rFonts w:ascii="Calibri" w:eastAsia="Times New Roman" w:hAnsi="Calibri" w:cs="Calibri"/>
                <w:b/>
                <w:bCs/>
                <w:color w:val="000000"/>
                <w:sz w:val="20"/>
                <w:szCs w:val="20"/>
              </w:rPr>
            </w:pPr>
            <w:r w:rsidRPr="00867849">
              <w:rPr>
                <w:rFonts w:ascii="Calibri" w:eastAsia="Times New Roman" w:hAnsi="Calibri" w:cs="Calibri"/>
                <w:b/>
                <w:bCs/>
                <w:color w:val="000000"/>
                <w:sz w:val="20"/>
                <w:szCs w:val="20"/>
              </w:rPr>
              <w:t>70.96A.085</w:t>
            </w:r>
          </w:p>
        </w:tc>
        <w:tc>
          <w:tcPr>
            <w:tcW w:w="2700" w:type="dxa"/>
            <w:tcBorders>
              <w:top w:val="nil"/>
              <w:left w:val="nil"/>
              <w:bottom w:val="single" w:sz="4" w:space="0" w:color="auto"/>
              <w:right w:val="single" w:sz="4" w:space="0" w:color="auto"/>
            </w:tcBorders>
            <w:shd w:val="clear" w:color="auto" w:fill="auto"/>
            <w:vAlign w:val="bottom"/>
            <w:hideMark/>
          </w:tcPr>
          <w:p w14:paraId="546984E3"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2% Substance abuse treatments</w:t>
            </w:r>
          </w:p>
        </w:tc>
        <w:tc>
          <w:tcPr>
            <w:tcW w:w="2970" w:type="dxa"/>
            <w:tcBorders>
              <w:top w:val="nil"/>
              <w:left w:val="nil"/>
              <w:bottom w:val="single" w:sz="4" w:space="0" w:color="auto"/>
              <w:right w:val="single" w:sz="8" w:space="0" w:color="auto"/>
            </w:tcBorders>
            <w:shd w:val="clear" w:color="auto" w:fill="auto"/>
            <w:noWrap/>
            <w:vAlign w:val="bottom"/>
            <w:hideMark/>
          </w:tcPr>
          <w:p w14:paraId="6F1BCC15"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   </w:t>
            </w:r>
          </w:p>
        </w:tc>
      </w:tr>
      <w:tr w:rsidR="00867849" w:rsidRPr="00867849" w14:paraId="29D67C6A" w14:textId="77777777" w:rsidTr="00867849">
        <w:trPr>
          <w:trHeight w:val="525"/>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4A4DED44"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Liquor Control Board Profits</w:t>
            </w:r>
          </w:p>
        </w:tc>
        <w:tc>
          <w:tcPr>
            <w:tcW w:w="1530" w:type="dxa"/>
            <w:tcBorders>
              <w:top w:val="nil"/>
              <w:left w:val="nil"/>
              <w:bottom w:val="single" w:sz="4" w:space="0" w:color="auto"/>
              <w:right w:val="single" w:sz="4" w:space="0" w:color="auto"/>
            </w:tcBorders>
            <w:shd w:val="clear" w:color="auto" w:fill="auto"/>
            <w:noWrap/>
            <w:vAlign w:val="bottom"/>
            <w:hideMark/>
          </w:tcPr>
          <w:p w14:paraId="2A94262B" w14:textId="77777777" w:rsidR="00867849" w:rsidRPr="00867849" w:rsidRDefault="00867849" w:rsidP="00867849">
            <w:pPr>
              <w:spacing w:after="0" w:line="240" w:lineRule="auto"/>
              <w:jc w:val="center"/>
              <w:rPr>
                <w:rFonts w:ascii="Calibri" w:eastAsia="Times New Roman" w:hAnsi="Calibri" w:cs="Calibri"/>
                <w:b/>
                <w:bCs/>
                <w:color w:val="000000"/>
                <w:sz w:val="20"/>
                <w:szCs w:val="20"/>
              </w:rPr>
            </w:pPr>
            <w:r w:rsidRPr="00867849">
              <w:rPr>
                <w:rFonts w:ascii="Calibri" w:eastAsia="Times New Roman" w:hAnsi="Calibri" w:cs="Calibri"/>
                <w:b/>
                <w:bCs/>
                <w:color w:val="000000"/>
                <w:sz w:val="20"/>
                <w:szCs w:val="20"/>
              </w:rPr>
              <w:t>66.24.065</w:t>
            </w:r>
          </w:p>
        </w:tc>
        <w:tc>
          <w:tcPr>
            <w:tcW w:w="2700" w:type="dxa"/>
            <w:tcBorders>
              <w:top w:val="nil"/>
              <w:left w:val="nil"/>
              <w:bottom w:val="single" w:sz="4" w:space="0" w:color="auto"/>
              <w:right w:val="single" w:sz="4" w:space="0" w:color="auto"/>
            </w:tcBorders>
            <w:shd w:val="clear" w:color="auto" w:fill="auto"/>
            <w:vAlign w:val="bottom"/>
            <w:hideMark/>
          </w:tcPr>
          <w:p w14:paraId="1088F8A5"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20.23% Public Safety</w:t>
            </w:r>
          </w:p>
        </w:tc>
        <w:tc>
          <w:tcPr>
            <w:tcW w:w="2970" w:type="dxa"/>
            <w:tcBorders>
              <w:top w:val="nil"/>
              <w:left w:val="nil"/>
              <w:bottom w:val="single" w:sz="4" w:space="0" w:color="auto"/>
              <w:right w:val="single" w:sz="8" w:space="0" w:color="auto"/>
            </w:tcBorders>
            <w:shd w:val="clear" w:color="auto" w:fill="auto"/>
            <w:noWrap/>
            <w:vAlign w:val="bottom"/>
            <w:hideMark/>
          </w:tcPr>
          <w:p w14:paraId="71B78E2E"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   </w:t>
            </w:r>
          </w:p>
        </w:tc>
      </w:tr>
      <w:tr w:rsidR="00867849" w:rsidRPr="00867849" w14:paraId="3EDC8902" w14:textId="77777777" w:rsidTr="00867849">
        <w:trPr>
          <w:trHeight w:val="395"/>
        </w:trPr>
        <w:tc>
          <w:tcPr>
            <w:tcW w:w="2150" w:type="dxa"/>
            <w:tcBorders>
              <w:top w:val="nil"/>
              <w:left w:val="single" w:sz="8" w:space="0" w:color="auto"/>
              <w:bottom w:val="double" w:sz="6" w:space="0" w:color="auto"/>
              <w:right w:val="single" w:sz="4" w:space="0" w:color="auto"/>
            </w:tcBorders>
            <w:shd w:val="clear" w:color="auto" w:fill="auto"/>
            <w:vAlign w:val="bottom"/>
            <w:hideMark/>
          </w:tcPr>
          <w:p w14:paraId="246FB22C"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Sale Proceeds RR Spur</w:t>
            </w:r>
          </w:p>
        </w:tc>
        <w:tc>
          <w:tcPr>
            <w:tcW w:w="1530" w:type="dxa"/>
            <w:tcBorders>
              <w:top w:val="nil"/>
              <w:left w:val="nil"/>
              <w:bottom w:val="double" w:sz="6" w:space="0" w:color="auto"/>
              <w:right w:val="single" w:sz="4" w:space="0" w:color="auto"/>
            </w:tcBorders>
            <w:shd w:val="clear" w:color="auto" w:fill="auto"/>
            <w:vAlign w:val="bottom"/>
            <w:hideMark/>
          </w:tcPr>
          <w:p w14:paraId="6C12F648"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Res 14-07-62 Committed</w:t>
            </w:r>
          </w:p>
        </w:tc>
        <w:tc>
          <w:tcPr>
            <w:tcW w:w="2700" w:type="dxa"/>
            <w:tcBorders>
              <w:top w:val="nil"/>
              <w:left w:val="nil"/>
              <w:bottom w:val="double" w:sz="6" w:space="0" w:color="auto"/>
              <w:right w:val="single" w:sz="4" w:space="0" w:color="auto"/>
            </w:tcBorders>
            <w:shd w:val="clear" w:color="auto" w:fill="auto"/>
            <w:vAlign w:val="bottom"/>
            <w:hideMark/>
          </w:tcPr>
          <w:p w14:paraId="2E7F201E"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Future Capital Needs Assigned</w:t>
            </w:r>
          </w:p>
        </w:tc>
        <w:tc>
          <w:tcPr>
            <w:tcW w:w="2970" w:type="dxa"/>
            <w:tcBorders>
              <w:top w:val="nil"/>
              <w:left w:val="nil"/>
              <w:bottom w:val="double" w:sz="6" w:space="0" w:color="auto"/>
              <w:right w:val="single" w:sz="8" w:space="0" w:color="auto"/>
            </w:tcBorders>
            <w:shd w:val="clear" w:color="auto" w:fill="auto"/>
            <w:noWrap/>
            <w:vAlign w:val="bottom"/>
            <w:hideMark/>
          </w:tcPr>
          <w:p w14:paraId="5DFFF165"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105,796.20 </w:t>
            </w:r>
          </w:p>
        </w:tc>
      </w:tr>
      <w:tr w:rsidR="00867849" w:rsidRPr="00867849" w14:paraId="0C2B5392" w14:textId="77777777" w:rsidTr="00867849">
        <w:trPr>
          <w:trHeight w:val="297"/>
        </w:trPr>
        <w:tc>
          <w:tcPr>
            <w:tcW w:w="2150" w:type="dxa"/>
            <w:tcBorders>
              <w:top w:val="nil"/>
              <w:left w:val="single" w:sz="8" w:space="0" w:color="auto"/>
              <w:bottom w:val="nil"/>
              <w:right w:val="nil"/>
            </w:tcBorders>
            <w:shd w:val="clear" w:color="auto" w:fill="auto"/>
            <w:noWrap/>
            <w:vAlign w:val="bottom"/>
            <w:hideMark/>
          </w:tcPr>
          <w:p w14:paraId="2D80D8FC"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w:t>
            </w:r>
          </w:p>
        </w:tc>
        <w:tc>
          <w:tcPr>
            <w:tcW w:w="1530" w:type="dxa"/>
            <w:tcBorders>
              <w:top w:val="nil"/>
              <w:left w:val="nil"/>
              <w:bottom w:val="nil"/>
              <w:right w:val="nil"/>
            </w:tcBorders>
            <w:shd w:val="clear" w:color="auto" w:fill="auto"/>
            <w:noWrap/>
            <w:vAlign w:val="bottom"/>
            <w:hideMark/>
          </w:tcPr>
          <w:p w14:paraId="43110B6C" w14:textId="77777777" w:rsidR="00867849" w:rsidRPr="00867849" w:rsidRDefault="00867849" w:rsidP="00867849">
            <w:pPr>
              <w:spacing w:after="0" w:line="240" w:lineRule="auto"/>
              <w:rPr>
                <w:rFonts w:ascii="Calibri" w:eastAsia="Times New Roman" w:hAnsi="Calibri" w:cs="Calibri"/>
                <w:color w:val="000000"/>
              </w:rPr>
            </w:pPr>
          </w:p>
        </w:tc>
        <w:tc>
          <w:tcPr>
            <w:tcW w:w="2700" w:type="dxa"/>
            <w:tcBorders>
              <w:top w:val="nil"/>
              <w:left w:val="single" w:sz="4" w:space="0" w:color="auto"/>
              <w:bottom w:val="single" w:sz="8" w:space="0" w:color="auto"/>
              <w:right w:val="single" w:sz="4" w:space="0" w:color="auto"/>
            </w:tcBorders>
            <w:shd w:val="clear" w:color="auto" w:fill="auto"/>
            <w:vAlign w:val="bottom"/>
            <w:hideMark/>
          </w:tcPr>
          <w:p w14:paraId="7FEFF9D5" w14:textId="77777777" w:rsidR="00867849" w:rsidRPr="00867849" w:rsidRDefault="00867849" w:rsidP="00867849">
            <w:pPr>
              <w:spacing w:after="0" w:line="240" w:lineRule="auto"/>
              <w:rPr>
                <w:rFonts w:ascii="Calibri" w:eastAsia="Times New Roman" w:hAnsi="Calibri" w:cs="Calibri"/>
                <w:b/>
                <w:bCs/>
                <w:color w:val="000000"/>
                <w:sz w:val="18"/>
                <w:szCs w:val="18"/>
              </w:rPr>
            </w:pPr>
            <w:r w:rsidRPr="00867849">
              <w:rPr>
                <w:rFonts w:ascii="Calibri" w:eastAsia="Times New Roman" w:hAnsi="Calibri" w:cs="Calibri"/>
                <w:b/>
                <w:bCs/>
                <w:color w:val="000000"/>
                <w:sz w:val="18"/>
                <w:szCs w:val="18"/>
              </w:rPr>
              <w:t>Total Restricted Funds</w:t>
            </w:r>
          </w:p>
        </w:tc>
        <w:tc>
          <w:tcPr>
            <w:tcW w:w="2970" w:type="dxa"/>
            <w:tcBorders>
              <w:top w:val="nil"/>
              <w:left w:val="nil"/>
              <w:bottom w:val="nil"/>
              <w:right w:val="single" w:sz="8" w:space="0" w:color="auto"/>
            </w:tcBorders>
            <w:shd w:val="clear" w:color="auto" w:fill="auto"/>
            <w:noWrap/>
            <w:vAlign w:val="bottom"/>
            <w:hideMark/>
          </w:tcPr>
          <w:p w14:paraId="34506B26"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105,796.20 </w:t>
            </w:r>
          </w:p>
        </w:tc>
      </w:tr>
      <w:tr w:rsidR="00867849" w:rsidRPr="00867849" w14:paraId="0F0AB31B" w14:textId="77777777" w:rsidTr="00867849">
        <w:trPr>
          <w:trHeight w:val="268"/>
        </w:trPr>
        <w:tc>
          <w:tcPr>
            <w:tcW w:w="9350"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7531B571" w14:textId="77777777" w:rsidR="00867849" w:rsidRPr="00867849" w:rsidRDefault="00867849" w:rsidP="00867849">
            <w:pPr>
              <w:spacing w:after="0" w:line="240" w:lineRule="auto"/>
              <w:jc w:val="center"/>
              <w:rPr>
                <w:rFonts w:ascii="Cambria" w:eastAsia="Times New Roman" w:hAnsi="Cambria" w:cs="Calibri"/>
                <w:b/>
                <w:bCs/>
                <w:color w:val="000000"/>
                <w:sz w:val="20"/>
                <w:szCs w:val="20"/>
              </w:rPr>
            </w:pPr>
            <w:r w:rsidRPr="00867849">
              <w:rPr>
                <w:rFonts w:ascii="Cambria" w:eastAsia="Times New Roman" w:hAnsi="Cambria" w:cs="Calibri"/>
                <w:b/>
                <w:bCs/>
                <w:color w:val="000000"/>
                <w:sz w:val="20"/>
                <w:szCs w:val="20"/>
              </w:rPr>
              <w:t>Substance Abuse Fund</w:t>
            </w:r>
          </w:p>
        </w:tc>
      </w:tr>
      <w:tr w:rsidR="00867849" w:rsidRPr="00867849" w14:paraId="36ADA2FF" w14:textId="77777777" w:rsidTr="00867849">
        <w:trPr>
          <w:trHeight w:val="300"/>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2885BA73"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Resource</w:t>
            </w:r>
          </w:p>
        </w:tc>
        <w:tc>
          <w:tcPr>
            <w:tcW w:w="1530" w:type="dxa"/>
            <w:tcBorders>
              <w:top w:val="nil"/>
              <w:left w:val="nil"/>
              <w:bottom w:val="single" w:sz="4" w:space="0" w:color="auto"/>
              <w:right w:val="single" w:sz="4" w:space="0" w:color="auto"/>
            </w:tcBorders>
            <w:shd w:val="clear" w:color="auto" w:fill="auto"/>
            <w:noWrap/>
            <w:vAlign w:val="bottom"/>
            <w:hideMark/>
          </w:tcPr>
          <w:p w14:paraId="2D4E84A0"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Ordinance</w:t>
            </w:r>
          </w:p>
        </w:tc>
        <w:tc>
          <w:tcPr>
            <w:tcW w:w="2700" w:type="dxa"/>
            <w:tcBorders>
              <w:top w:val="nil"/>
              <w:left w:val="nil"/>
              <w:bottom w:val="single" w:sz="4" w:space="0" w:color="auto"/>
              <w:right w:val="single" w:sz="4" w:space="0" w:color="auto"/>
            </w:tcBorders>
            <w:shd w:val="clear" w:color="auto" w:fill="auto"/>
            <w:vAlign w:val="bottom"/>
            <w:hideMark/>
          </w:tcPr>
          <w:p w14:paraId="3842C677" w14:textId="77777777" w:rsidR="00867849" w:rsidRPr="00867849" w:rsidRDefault="00867849" w:rsidP="00867849">
            <w:pPr>
              <w:spacing w:after="0" w:line="240" w:lineRule="auto"/>
              <w:jc w:val="center"/>
              <w:rPr>
                <w:rFonts w:ascii="Calibri" w:eastAsia="Times New Roman" w:hAnsi="Calibri" w:cs="Calibri"/>
                <w:color w:val="000000"/>
                <w:sz w:val="18"/>
                <w:szCs w:val="18"/>
              </w:rPr>
            </w:pPr>
            <w:r w:rsidRPr="00867849">
              <w:rPr>
                <w:rFonts w:ascii="Calibri" w:eastAsia="Times New Roman" w:hAnsi="Calibri" w:cs="Calibri"/>
                <w:color w:val="000000"/>
                <w:sz w:val="18"/>
                <w:szCs w:val="18"/>
              </w:rPr>
              <w:t>Use</w:t>
            </w:r>
          </w:p>
        </w:tc>
        <w:tc>
          <w:tcPr>
            <w:tcW w:w="2970" w:type="dxa"/>
            <w:tcBorders>
              <w:top w:val="nil"/>
              <w:left w:val="nil"/>
              <w:bottom w:val="single" w:sz="4" w:space="0" w:color="auto"/>
              <w:right w:val="single" w:sz="8" w:space="0" w:color="auto"/>
            </w:tcBorders>
            <w:shd w:val="clear" w:color="auto" w:fill="auto"/>
            <w:noWrap/>
            <w:vAlign w:val="bottom"/>
            <w:hideMark/>
          </w:tcPr>
          <w:p w14:paraId="74C4A2FC"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 xml:space="preserve"> End Balance </w:t>
            </w:r>
          </w:p>
        </w:tc>
      </w:tr>
      <w:tr w:rsidR="00867849" w:rsidRPr="00867849" w14:paraId="47072293" w14:textId="77777777" w:rsidTr="00867849">
        <w:trPr>
          <w:trHeight w:val="540"/>
        </w:trPr>
        <w:tc>
          <w:tcPr>
            <w:tcW w:w="2150" w:type="dxa"/>
            <w:tcBorders>
              <w:top w:val="nil"/>
              <w:left w:val="single" w:sz="8" w:space="0" w:color="auto"/>
              <w:bottom w:val="double" w:sz="6" w:space="0" w:color="auto"/>
              <w:right w:val="single" w:sz="4" w:space="0" w:color="auto"/>
            </w:tcBorders>
            <w:shd w:val="clear" w:color="auto" w:fill="auto"/>
            <w:vAlign w:val="bottom"/>
            <w:hideMark/>
          </w:tcPr>
          <w:p w14:paraId="3E52D772"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Seizures, Drug Fines, Interest</w:t>
            </w:r>
          </w:p>
        </w:tc>
        <w:tc>
          <w:tcPr>
            <w:tcW w:w="1530" w:type="dxa"/>
            <w:tcBorders>
              <w:top w:val="nil"/>
              <w:left w:val="nil"/>
              <w:bottom w:val="double" w:sz="6" w:space="0" w:color="auto"/>
              <w:right w:val="single" w:sz="4" w:space="0" w:color="auto"/>
            </w:tcBorders>
            <w:shd w:val="clear" w:color="auto" w:fill="auto"/>
            <w:noWrap/>
            <w:vAlign w:val="bottom"/>
            <w:hideMark/>
          </w:tcPr>
          <w:p w14:paraId="0B1FFCD8"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572</w:t>
            </w:r>
          </w:p>
        </w:tc>
        <w:tc>
          <w:tcPr>
            <w:tcW w:w="2700" w:type="dxa"/>
            <w:tcBorders>
              <w:top w:val="nil"/>
              <w:left w:val="nil"/>
              <w:bottom w:val="double" w:sz="6" w:space="0" w:color="auto"/>
              <w:right w:val="single" w:sz="4" w:space="0" w:color="auto"/>
            </w:tcBorders>
            <w:shd w:val="clear" w:color="auto" w:fill="auto"/>
            <w:vAlign w:val="bottom"/>
            <w:hideMark/>
          </w:tcPr>
          <w:p w14:paraId="6533A86F"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Care Evidence, Training, Investigative</w:t>
            </w:r>
          </w:p>
        </w:tc>
        <w:tc>
          <w:tcPr>
            <w:tcW w:w="2970" w:type="dxa"/>
            <w:tcBorders>
              <w:top w:val="nil"/>
              <w:left w:val="nil"/>
              <w:bottom w:val="double" w:sz="6" w:space="0" w:color="auto"/>
              <w:right w:val="single" w:sz="8" w:space="0" w:color="auto"/>
            </w:tcBorders>
            <w:shd w:val="clear" w:color="auto" w:fill="auto"/>
            <w:noWrap/>
            <w:vAlign w:val="bottom"/>
            <w:hideMark/>
          </w:tcPr>
          <w:p w14:paraId="09D18C7C"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5,974.86 </w:t>
            </w:r>
          </w:p>
        </w:tc>
      </w:tr>
      <w:tr w:rsidR="00867849" w:rsidRPr="00867849" w14:paraId="4AC2CB62" w14:textId="77777777" w:rsidTr="00867849">
        <w:trPr>
          <w:trHeight w:val="330"/>
        </w:trPr>
        <w:tc>
          <w:tcPr>
            <w:tcW w:w="2150" w:type="dxa"/>
            <w:tcBorders>
              <w:top w:val="nil"/>
              <w:left w:val="single" w:sz="8" w:space="0" w:color="auto"/>
              <w:bottom w:val="nil"/>
              <w:right w:val="nil"/>
            </w:tcBorders>
            <w:shd w:val="clear" w:color="auto" w:fill="auto"/>
            <w:noWrap/>
            <w:vAlign w:val="bottom"/>
            <w:hideMark/>
          </w:tcPr>
          <w:p w14:paraId="77C63DB6"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w:t>
            </w:r>
          </w:p>
        </w:tc>
        <w:tc>
          <w:tcPr>
            <w:tcW w:w="1530" w:type="dxa"/>
            <w:tcBorders>
              <w:top w:val="nil"/>
              <w:left w:val="nil"/>
              <w:bottom w:val="nil"/>
              <w:right w:val="nil"/>
            </w:tcBorders>
            <w:shd w:val="clear" w:color="auto" w:fill="auto"/>
            <w:noWrap/>
            <w:vAlign w:val="bottom"/>
            <w:hideMark/>
          </w:tcPr>
          <w:p w14:paraId="0B3A66EE" w14:textId="77777777" w:rsidR="00867849" w:rsidRPr="00867849" w:rsidRDefault="00867849" w:rsidP="00867849">
            <w:pPr>
              <w:spacing w:after="0" w:line="240" w:lineRule="auto"/>
              <w:rPr>
                <w:rFonts w:ascii="Calibri" w:eastAsia="Times New Roman" w:hAnsi="Calibri" w:cs="Calibri"/>
                <w:color w:val="000000"/>
              </w:rPr>
            </w:pPr>
          </w:p>
        </w:tc>
        <w:tc>
          <w:tcPr>
            <w:tcW w:w="2700" w:type="dxa"/>
            <w:tcBorders>
              <w:top w:val="nil"/>
              <w:left w:val="single" w:sz="4" w:space="0" w:color="auto"/>
              <w:bottom w:val="single" w:sz="8" w:space="0" w:color="auto"/>
              <w:right w:val="single" w:sz="4" w:space="0" w:color="auto"/>
            </w:tcBorders>
            <w:shd w:val="clear" w:color="auto" w:fill="auto"/>
            <w:vAlign w:val="bottom"/>
            <w:hideMark/>
          </w:tcPr>
          <w:p w14:paraId="5A8B7D05" w14:textId="77777777" w:rsidR="00867849" w:rsidRPr="00867849" w:rsidRDefault="00867849" w:rsidP="00867849">
            <w:pPr>
              <w:spacing w:after="0" w:line="240" w:lineRule="auto"/>
              <w:rPr>
                <w:rFonts w:ascii="Calibri" w:eastAsia="Times New Roman" w:hAnsi="Calibri" w:cs="Calibri"/>
                <w:b/>
                <w:bCs/>
                <w:color w:val="000000"/>
                <w:sz w:val="18"/>
                <w:szCs w:val="18"/>
              </w:rPr>
            </w:pPr>
            <w:r w:rsidRPr="00867849">
              <w:rPr>
                <w:rFonts w:ascii="Calibri" w:eastAsia="Times New Roman" w:hAnsi="Calibri" w:cs="Calibri"/>
                <w:b/>
                <w:bCs/>
                <w:color w:val="000000"/>
                <w:sz w:val="18"/>
                <w:szCs w:val="18"/>
              </w:rPr>
              <w:t>Total Restricted Funds</w:t>
            </w:r>
          </w:p>
        </w:tc>
        <w:tc>
          <w:tcPr>
            <w:tcW w:w="2970" w:type="dxa"/>
            <w:tcBorders>
              <w:top w:val="nil"/>
              <w:left w:val="nil"/>
              <w:bottom w:val="nil"/>
              <w:right w:val="single" w:sz="8" w:space="0" w:color="auto"/>
            </w:tcBorders>
            <w:shd w:val="clear" w:color="auto" w:fill="auto"/>
            <w:noWrap/>
            <w:vAlign w:val="bottom"/>
            <w:hideMark/>
          </w:tcPr>
          <w:p w14:paraId="34480A60"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5,974.86 </w:t>
            </w:r>
          </w:p>
        </w:tc>
      </w:tr>
      <w:tr w:rsidR="00867849" w:rsidRPr="00867849" w14:paraId="01D4CDC5" w14:textId="77777777" w:rsidTr="00867849">
        <w:trPr>
          <w:trHeight w:val="300"/>
        </w:trPr>
        <w:tc>
          <w:tcPr>
            <w:tcW w:w="9350"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2E014585" w14:textId="77777777" w:rsidR="00867849" w:rsidRPr="00867849" w:rsidRDefault="00867849" w:rsidP="00867849">
            <w:pPr>
              <w:spacing w:after="0" w:line="240" w:lineRule="auto"/>
              <w:jc w:val="center"/>
              <w:rPr>
                <w:rFonts w:ascii="Cambria" w:eastAsia="Times New Roman" w:hAnsi="Cambria" w:cs="Calibri"/>
                <w:b/>
                <w:bCs/>
                <w:color w:val="000000"/>
                <w:sz w:val="20"/>
                <w:szCs w:val="20"/>
              </w:rPr>
            </w:pPr>
            <w:r w:rsidRPr="00867849">
              <w:rPr>
                <w:rFonts w:ascii="Cambria" w:eastAsia="Times New Roman" w:hAnsi="Cambria" w:cs="Calibri"/>
                <w:b/>
                <w:bCs/>
                <w:color w:val="000000"/>
                <w:sz w:val="20"/>
                <w:szCs w:val="20"/>
              </w:rPr>
              <w:t>Park Improvement Fund</w:t>
            </w:r>
          </w:p>
        </w:tc>
      </w:tr>
      <w:tr w:rsidR="00867849" w:rsidRPr="00867849" w14:paraId="61CBA1B0" w14:textId="77777777" w:rsidTr="00867849">
        <w:trPr>
          <w:trHeight w:val="300"/>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5BE6B8DC"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Resource</w:t>
            </w:r>
          </w:p>
        </w:tc>
        <w:tc>
          <w:tcPr>
            <w:tcW w:w="1530" w:type="dxa"/>
            <w:tcBorders>
              <w:top w:val="nil"/>
              <w:left w:val="nil"/>
              <w:bottom w:val="single" w:sz="4" w:space="0" w:color="auto"/>
              <w:right w:val="single" w:sz="4" w:space="0" w:color="auto"/>
            </w:tcBorders>
            <w:shd w:val="clear" w:color="auto" w:fill="auto"/>
            <w:noWrap/>
            <w:vAlign w:val="bottom"/>
            <w:hideMark/>
          </w:tcPr>
          <w:p w14:paraId="3D4EB5E7"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RCW</w:t>
            </w:r>
          </w:p>
        </w:tc>
        <w:tc>
          <w:tcPr>
            <w:tcW w:w="2700" w:type="dxa"/>
            <w:tcBorders>
              <w:top w:val="nil"/>
              <w:left w:val="nil"/>
              <w:bottom w:val="single" w:sz="4" w:space="0" w:color="auto"/>
              <w:right w:val="single" w:sz="4" w:space="0" w:color="auto"/>
            </w:tcBorders>
            <w:shd w:val="clear" w:color="auto" w:fill="auto"/>
            <w:vAlign w:val="bottom"/>
            <w:hideMark/>
          </w:tcPr>
          <w:p w14:paraId="0FA53191" w14:textId="77777777" w:rsidR="00867849" w:rsidRPr="00867849" w:rsidRDefault="00867849" w:rsidP="00867849">
            <w:pPr>
              <w:spacing w:after="0" w:line="240" w:lineRule="auto"/>
              <w:jc w:val="center"/>
              <w:rPr>
                <w:rFonts w:ascii="Calibri" w:eastAsia="Times New Roman" w:hAnsi="Calibri" w:cs="Calibri"/>
                <w:color w:val="000000"/>
                <w:sz w:val="18"/>
                <w:szCs w:val="18"/>
              </w:rPr>
            </w:pPr>
            <w:r w:rsidRPr="00867849">
              <w:rPr>
                <w:rFonts w:ascii="Calibri" w:eastAsia="Times New Roman" w:hAnsi="Calibri" w:cs="Calibri"/>
                <w:color w:val="000000"/>
                <w:sz w:val="18"/>
                <w:szCs w:val="18"/>
              </w:rPr>
              <w:t>Use</w:t>
            </w:r>
          </w:p>
        </w:tc>
        <w:tc>
          <w:tcPr>
            <w:tcW w:w="2970" w:type="dxa"/>
            <w:tcBorders>
              <w:top w:val="nil"/>
              <w:left w:val="nil"/>
              <w:bottom w:val="single" w:sz="4" w:space="0" w:color="auto"/>
              <w:right w:val="single" w:sz="8" w:space="0" w:color="auto"/>
            </w:tcBorders>
            <w:shd w:val="clear" w:color="auto" w:fill="auto"/>
            <w:noWrap/>
            <w:vAlign w:val="bottom"/>
            <w:hideMark/>
          </w:tcPr>
          <w:p w14:paraId="4F6B4890"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 xml:space="preserve"> End Balance </w:t>
            </w:r>
          </w:p>
        </w:tc>
      </w:tr>
      <w:tr w:rsidR="00867849" w:rsidRPr="00867849" w14:paraId="6C20DAB3" w14:textId="77777777" w:rsidTr="00867849">
        <w:trPr>
          <w:trHeight w:val="495"/>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5C06D3EC"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Real Estate Excise Tax</w:t>
            </w:r>
          </w:p>
        </w:tc>
        <w:tc>
          <w:tcPr>
            <w:tcW w:w="1530" w:type="dxa"/>
            <w:tcBorders>
              <w:top w:val="nil"/>
              <w:left w:val="nil"/>
              <w:bottom w:val="single" w:sz="4" w:space="0" w:color="auto"/>
              <w:right w:val="single" w:sz="4" w:space="0" w:color="auto"/>
            </w:tcBorders>
            <w:shd w:val="clear" w:color="auto" w:fill="auto"/>
            <w:noWrap/>
            <w:vAlign w:val="bottom"/>
            <w:hideMark/>
          </w:tcPr>
          <w:p w14:paraId="0CFCEFA9" w14:textId="77777777" w:rsidR="00867849" w:rsidRPr="00867849" w:rsidRDefault="00867849" w:rsidP="00867849">
            <w:pPr>
              <w:spacing w:after="0" w:line="240" w:lineRule="auto"/>
              <w:jc w:val="center"/>
              <w:rPr>
                <w:rFonts w:ascii="Calibri" w:eastAsia="Times New Roman" w:hAnsi="Calibri" w:cs="Calibri"/>
                <w:b/>
                <w:bCs/>
                <w:color w:val="000000"/>
                <w:sz w:val="20"/>
                <w:szCs w:val="20"/>
              </w:rPr>
            </w:pPr>
            <w:r w:rsidRPr="00867849">
              <w:rPr>
                <w:rFonts w:ascii="Calibri" w:eastAsia="Times New Roman" w:hAnsi="Calibri" w:cs="Calibri"/>
                <w:b/>
                <w:bCs/>
                <w:color w:val="000000"/>
                <w:sz w:val="20"/>
                <w:szCs w:val="20"/>
              </w:rPr>
              <w:t>82.46.010 (2)</w:t>
            </w:r>
          </w:p>
        </w:tc>
        <w:tc>
          <w:tcPr>
            <w:tcW w:w="2700" w:type="dxa"/>
            <w:tcBorders>
              <w:top w:val="nil"/>
              <w:left w:val="nil"/>
              <w:bottom w:val="single" w:sz="4" w:space="0" w:color="auto"/>
              <w:right w:val="single" w:sz="4" w:space="0" w:color="auto"/>
            </w:tcBorders>
            <w:shd w:val="clear" w:color="auto" w:fill="auto"/>
            <w:vAlign w:val="bottom"/>
            <w:hideMark/>
          </w:tcPr>
          <w:p w14:paraId="5E82E196"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Capital Facilities Plan Capital Projects</w:t>
            </w:r>
          </w:p>
        </w:tc>
        <w:tc>
          <w:tcPr>
            <w:tcW w:w="2970" w:type="dxa"/>
            <w:tcBorders>
              <w:top w:val="nil"/>
              <w:left w:val="nil"/>
              <w:bottom w:val="single" w:sz="4" w:space="0" w:color="auto"/>
              <w:right w:val="single" w:sz="8" w:space="0" w:color="auto"/>
            </w:tcBorders>
            <w:shd w:val="clear" w:color="auto" w:fill="auto"/>
            <w:noWrap/>
            <w:vAlign w:val="bottom"/>
            <w:hideMark/>
          </w:tcPr>
          <w:p w14:paraId="5E15245D"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152,628.64 </w:t>
            </w:r>
          </w:p>
        </w:tc>
      </w:tr>
      <w:tr w:rsidR="00867849" w:rsidRPr="00867849" w14:paraId="5902C0FB" w14:textId="77777777" w:rsidTr="00867849">
        <w:trPr>
          <w:trHeight w:val="315"/>
        </w:trPr>
        <w:tc>
          <w:tcPr>
            <w:tcW w:w="2150" w:type="dxa"/>
            <w:tcBorders>
              <w:top w:val="nil"/>
              <w:left w:val="single" w:sz="8" w:space="0" w:color="auto"/>
              <w:bottom w:val="double" w:sz="6" w:space="0" w:color="auto"/>
              <w:right w:val="single" w:sz="4" w:space="0" w:color="auto"/>
            </w:tcBorders>
            <w:shd w:val="clear" w:color="auto" w:fill="auto"/>
            <w:vAlign w:val="bottom"/>
            <w:hideMark/>
          </w:tcPr>
          <w:p w14:paraId="4372F9D7"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Investment Interest</w:t>
            </w:r>
          </w:p>
        </w:tc>
        <w:tc>
          <w:tcPr>
            <w:tcW w:w="1530" w:type="dxa"/>
            <w:tcBorders>
              <w:top w:val="nil"/>
              <w:left w:val="nil"/>
              <w:bottom w:val="double" w:sz="6" w:space="0" w:color="auto"/>
              <w:right w:val="single" w:sz="4" w:space="0" w:color="auto"/>
            </w:tcBorders>
            <w:shd w:val="clear" w:color="auto" w:fill="auto"/>
            <w:noWrap/>
            <w:vAlign w:val="bottom"/>
            <w:hideMark/>
          </w:tcPr>
          <w:p w14:paraId="2CE78DD7"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 </w:t>
            </w:r>
          </w:p>
        </w:tc>
        <w:tc>
          <w:tcPr>
            <w:tcW w:w="2700" w:type="dxa"/>
            <w:tcBorders>
              <w:top w:val="nil"/>
              <w:left w:val="nil"/>
              <w:bottom w:val="double" w:sz="6" w:space="0" w:color="auto"/>
              <w:right w:val="single" w:sz="4" w:space="0" w:color="auto"/>
            </w:tcBorders>
            <w:shd w:val="clear" w:color="auto" w:fill="auto"/>
            <w:vAlign w:val="bottom"/>
            <w:hideMark/>
          </w:tcPr>
          <w:p w14:paraId="4A3937B0"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 </w:t>
            </w:r>
          </w:p>
        </w:tc>
        <w:tc>
          <w:tcPr>
            <w:tcW w:w="2970" w:type="dxa"/>
            <w:tcBorders>
              <w:top w:val="nil"/>
              <w:left w:val="nil"/>
              <w:bottom w:val="double" w:sz="6" w:space="0" w:color="auto"/>
              <w:right w:val="single" w:sz="8" w:space="0" w:color="auto"/>
            </w:tcBorders>
            <w:shd w:val="clear" w:color="auto" w:fill="auto"/>
            <w:noWrap/>
            <w:vAlign w:val="bottom"/>
            <w:hideMark/>
          </w:tcPr>
          <w:p w14:paraId="101A38D3"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1,912.82 </w:t>
            </w:r>
          </w:p>
        </w:tc>
      </w:tr>
      <w:tr w:rsidR="00867849" w:rsidRPr="00867849" w14:paraId="7F076804" w14:textId="77777777" w:rsidTr="00867849">
        <w:trPr>
          <w:trHeight w:val="330"/>
        </w:trPr>
        <w:tc>
          <w:tcPr>
            <w:tcW w:w="2150" w:type="dxa"/>
            <w:tcBorders>
              <w:top w:val="nil"/>
              <w:left w:val="single" w:sz="8" w:space="0" w:color="auto"/>
              <w:bottom w:val="nil"/>
              <w:right w:val="nil"/>
            </w:tcBorders>
            <w:shd w:val="clear" w:color="auto" w:fill="auto"/>
            <w:noWrap/>
            <w:vAlign w:val="bottom"/>
            <w:hideMark/>
          </w:tcPr>
          <w:p w14:paraId="59B23E37"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w:t>
            </w:r>
          </w:p>
        </w:tc>
        <w:tc>
          <w:tcPr>
            <w:tcW w:w="1530" w:type="dxa"/>
            <w:tcBorders>
              <w:top w:val="nil"/>
              <w:left w:val="nil"/>
              <w:bottom w:val="nil"/>
              <w:right w:val="nil"/>
            </w:tcBorders>
            <w:shd w:val="clear" w:color="auto" w:fill="auto"/>
            <w:noWrap/>
            <w:vAlign w:val="bottom"/>
            <w:hideMark/>
          </w:tcPr>
          <w:p w14:paraId="2609A670" w14:textId="77777777" w:rsidR="00867849" w:rsidRPr="00867849" w:rsidRDefault="00867849" w:rsidP="00867849">
            <w:pPr>
              <w:spacing w:after="0" w:line="240" w:lineRule="auto"/>
              <w:rPr>
                <w:rFonts w:ascii="Calibri" w:eastAsia="Times New Roman" w:hAnsi="Calibri" w:cs="Calibri"/>
                <w:color w:val="000000"/>
              </w:rPr>
            </w:pPr>
          </w:p>
        </w:tc>
        <w:tc>
          <w:tcPr>
            <w:tcW w:w="2700" w:type="dxa"/>
            <w:tcBorders>
              <w:top w:val="nil"/>
              <w:left w:val="single" w:sz="4" w:space="0" w:color="auto"/>
              <w:bottom w:val="single" w:sz="8" w:space="0" w:color="auto"/>
              <w:right w:val="single" w:sz="4" w:space="0" w:color="auto"/>
            </w:tcBorders>
            <w:shd w:val="clear" w:color="auto" w:fill="auto"/>
            <w:vAlign w:val="bottom"/>
            <w:hideMark/>
          </w:tcPr>
          <w:p w14:paraId="5B42E416" w14:textId="77777777" w:rsidR="00867849" w:rsidRPr="00867849" w:rsidRDefault="00867849" w:rsidP="00867849">
            <w:pPr>
              <w:spacing w:after="0" w:line="240" w:lineRule="auto"/>
              <w:rPr>
                <w:rFonts w:ascii="Calibri" w:eastAsia="Times New Roman" w:hAnsi="Calibri" w:cs="Calibri"/>
                <w:b/>
                <w:bCs/>
                <w:color w:val="000000"/>
                <w:sz w:val="18"/>
                <w:szCs w:val="18"/>
              </w:rPr>
            </w:pPr>
            <w:r w:rsidRPr="00867849">
              <w:rPr>
                <w:rFonts w:ascii="Calibri" w:eastAsia="Times New Roman" w:hAnsi="Calibri" w:cs="Calibri"/>
                <w:b/>
                <w:bCs/>
                <w:color w:val="000000"/>
                <w:sz w:val="18"/>
                <w:szCs w:val="18"/>
              </w:rPr>
              <w:t>Total Restricted Funds</w:t>
            </w:r>
          </w:p>
        </w:tc>
        <w:tc>
          <w:tcPr>
            <w:tcW w:w="2970" w:type="dxa"/>
            <w:tcBorders>
              <w:top w:val="nil"/>
              <w:left w:val="nil"/>
              <w:bottom w:val="nil"/>
              <w:right w:val="single" w:sz="8" w:space="0" w:color="auto"/>
            </w:tcBorders>
            <w:shd w:val="clear" w:color="auto" w:fill="auto"/>
            <w:noWrap/>
            <w:vAlign w:val="bottom"/>
            <w:hideMark/>
          </w:tcPr>
          <w:p w14:paraId="3035122F"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154,541.46 </w:t>
            </w:r>
          </w:p>
        </w:tc>
      </w:tr>
      <w:tr w:rsidR="00867849" w:rsidRPr="00867849" w14:paraId="40D556CF" w14:textId="77777777" w:rsidTr="00867849">
        <w:trPr>
          <w:trHeight w:val="300"/>
        </w:trPr>
        <w:tc>
          <w:tcPr>
            <w:tcW w:w="9350"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5A2E6494" w14:textId="77777777" w:rsidR="00867849" w:rsidRPr="00867849" w:rsidRDefault="00867849" w:rsidP="00867849">
            <w:pPr>
              <w:spacing w:after="0" w:line="240" w:lineRule="auto"/>
              <w:jc w:val="center"/>
              <w:rPr>
                <w:rFonts w:ascii="Cambria" w:eastAsia="Times New Roman" w:hAnsi="Cambria" w:cs="Calibri"/>
                <w:b/>
                <w:bCs/>
                <w:color w:val="000000"/>
                <w:sz w:val="20"/>
                <w:szCs w:val="20"/>
              </w:rPr>
            </w:pPr>
            <w:r w:rsidRPr="00867849">
              <w:rPr>
                <w:rFonts w:ascii="Cambria" w:eastAsia="Times New Roman" w:hAnsi="Cambria" w:cs="Calibri"/>
                <w:b/>
                <w:bCs/>
                <w:color w:val="000000"/>
                <w:sz w:val="20"/>
                <w:szCs w:val="20"/>
              </w:rPr>
              <w:t>General Gov Capital Equipment Fund</w:t>
            </w:r>
          </w:p>
        </w:tc>
      </w:tr>
      <w:tr w:rsidR="00867849" w:rsidRPr="00867849" w14:paraId="16F0DD7E" w14:textId="77777777" w:rsidTr="00867849">
        <w:trPr>
          <w:trHeight w:val="300"/>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53702342"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Resource</w:t>
            </w:r>
          </w:p>
        </w:tc>
        <w:tc>
          <w:tcPr>
            <w:tcW w:w="1530" w:type="dxa"/>
            <w:tcBorders>
              <w:top w:val="nil"/>
              <w:left w:val="nil"/>
              <w:bottom w:val="single" w:sz="4" w:space="0" w:color="auto"/>
              <w:right w:val="single" w:sz="4" w:space="0" w:color="auto"/>
            </w:tcBorders>
            <w:shd w:val="clear" w:color="auto" w:fill="auto"/>
            <w:noWrap/>
            <w:vAlign w:val="bottom"/>
            <w:hideMark/>
          </w:tcPr>
          <w:p w14:paraId="10056F93"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Ordinance</w:t>
            </w:r>
          </w:p>
        </w:tc>
        <w:tc>
          <w:tcPr>
            <w:tcW w:w="2700" w:type="dxa"/>
            <w:tcBorders>
              <w:top w:val="nil"/>
              <w:left w:val="nil"/>
              <w:bottom w:val="single" w:sz="4" w:space="0" w:color="auto"/>
              <w:right w:val="single" w:sz="4" w:space="0" w:color="auto"/>
            </w:tcBorders>
            <w:shd w:val="clear" w:color="auto" w:fill="auto"/>
            <w:vAlign w:val="bottom"/>
            <w:hideMark/>
          </w:tcPr>
          <w:p w14:paraId="3B9610A7" w14:textId="77777777" w:rsidR="00867849" w:rsidRPr="00867849" w:rsidRDefault="00867849" w:rsidP="00867849">
            <w:pPr>
              <w:spacing w:after="0" w:line="240" w:lineRule="auto"/>
              <w:jc w:val="center"/>
              <w:rPr>
                <w:rFonts w:ascii="Calibri" w:eastAsia="Times New Roman" w:hAnsi="Calibri" w:cs="Calibri"/>
                <w:color w:val="000000"/>
                <w:sz w:val="18"/>
                <w:szCs w:val="18"/>
              </w:rPr>
            </w:pPr>
            <w:r w:rsidRPr="00867849">
              <w:rPr>
                <w:rFonts w:ascii="Calibri" w:eastAsia="Times New Roman" w:hAnsi="Calibri" w:cs="Calibri"/>
                <w:color w:val="000000"/>
                <w:sz w:val="18"/>
                <w:szCs w:val="18"/>
              </w:rPr>
              <w:t>Use</w:t>
            </w:r>
          </w:p>
        </w:tc>
        <w:tc>
          <w:tcPr>
            <w:tcW w:w="2970" w:type="dxa"/>
            <w:tcBorders>
              <w:top w:val="nil"/>
              <w:left w:val="nil"/>
              <w:bottom w:val="single" w:sz="4" w:space="0" w:color="auto"/>
              <w:right w:val="single" w:sz="8" w:space="0" w:color="auto"/>
            </w:tcBorders>
            <w:shd w:val="clear" w:color="auto" w:fill="auto"/>
            <w:noWrap/>
            <w:vAlign w:val="bottom"/>
            <w:hideMark/>
          </w:tcPr>
          <w:p w14:paraId="07099DA1"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 xml:space="preserve"> End Balance </w:t>
            </w:r>
          </w:p>
        </w:tc>
      </w:tr>
      <w:tr w:rsidR="00867849" w:rsidRPr="00867849" w14:paraId="5E4BBE04" w14:textId="77777777" w:rsidTr="00867849">
        <w:trPr>
          <w:trHeight w:val="480"/>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316DE080"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Sale Old City Hall</w:t>
            </w:r>
          </w:p>
        </w:tc>
        <w:tc>
          <w:tcPr>
            <w:tcW w:w="1530" w:type="dxa"/>
            <w:tcBorders>
              <w:top w:val="nil"/>
              <w:left w:val="nil"/>
              <w:bottom w:val="single" w:sz="4" w:space="0" w:color="auto"/>
              <w:right w:val="single" w:sz="4" w:space="0" w:color="auto"/>
            </w:tcBorders>
            <w:shd w:val="clear" w:color="auto" w:fill="auto"/>
            <w:noWrap/>
            <w:vAlign w:val="bottom"/>
            <w:hideMark/>
          </w:tcPr>
          <w:p w14:paraId="5F4A4B0A"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610</w:t>
            </w:r>
          </w:p>
        </w:tc>
        <w:tc>
          <w:tcPr>
            <w:tcW w:w="2700" w:type="dxa"/>
            <w:tcBorders>
              <w:top w:val="nil"/>
              <w:left w:val="nil"/>
              <w:bottom w:val="single" w:sz="4" w:space="0" w:color="auto"/>
              <w:right w:val="single" w:sz="4" w:space="0" w:color="auto"/>
            </w:tcBorders>
            <w:shd w:val="clear" w:color="auto" w:fill="auto"/>
            <w:vAlign w:val="center"/>
            <w:hideMark/>
          </w:tcPr>
          <w:p w14:paraId="402DB5D8"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Maintain CH, Capital Equipment</w:t>
            </w:r>
          </w:p>
        </w:tc>
        <w:tc>
          <w:tcPr>
            <w:tcW w:w="2970" w:type="dxa"/>
            <w:tcBorders>
              <w:top w:val="nil"/>
              <w:left w:val="nil"/>
              <w:bottom w:val="single" w:sz="4" w:space="0" w:color="auto"/>
              <w:right w:val="single" w:sz="8" w:space="0" w:color="auto"/>
            </w:tcBorders>
            <w:shd w:val="clear" w:color="auto" w:fill="auto"/>
            <w:noWrap/>
            <w:vAlign w:val="bottom"/>
            <w:hideMark/>
          </w:tcPr>
          <w:p w14:paraId="34A5F8EF"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45,571.45 </w:t>
            </w:r>
          </w:p>
        </w:tc>
      </w:tr>
      <w:tr w:rsidR="00867849" w:rsidRPr="00867849" w14:paraId="3D3BD043" w14:textId="77777777" w:rsidTr="00867849">
        <w:trPr>
          <w:trHeight w:val="315"/>
        </w:trPr>
        <w:tc>
          <w:tcPr>
            <w:tcW w:w="2150" w:type="dxa"/>
            <w:tcBorders>
              <w:top w:val="nil"/>
              <w:left w:val="single" w:sz="8" w:space="0" w:color="auto"/>
              <w:bottom w:val="double" w:sz="6" w:space="0" w:color="auto"/>
              <w:right w:val="single" w:sz="4" w:space="0" w:color="auto"/>
            </w:tcBorders>
            <w:shd w:val="clear" w:color="auto" w:fill="auto"/>
            <w:vAlign w:val="bottom"/>
            <w:hideMark/>
          </w:tcPr>
          <w:p w14:paraId="1AC58D73"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Investment Interest</w:t>
            </w:r>
          </w:p>
        </w:tc>
        <w:tc>
          <w:tcPr>
            <w:tcW w:w="1530" w:type="dxa"/>
            <w:tcBorders>
              <w:top w:val="nil"/>
              <w:left w:val="nil"/>
              <w:bottom w:val="double" w:sz="6" w:space="0" w:color="auto"/>
              <w:right w:val="single" w:sz="4" w:space="0" w:color="auto"/>
            </w:tcBorders>
            <w:shd w:val="clear" w:color="auto" w:fill="auto"/>
            <w:noWrap/>
            <w:vAlign w:val="bottom"/>
            <w:hideMark/>
          </w:tcPr>
          <w:p w14:paraId="27D04122"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 </w:t>
            </w:r>
          </w:p>
        </w:tc>
        <w:tc>
          <w:tcPr>
            <w:tcW w:w="2700" w:type="dxa"/>
            <w:tcBorders>
              <w:top w:val="nil"/>
              <w:left w:val="nil"/>
              <w:bottom w:val="double" w:sz="6" w:space="0" w:color="auto"/>
              <w:right w:val="single" w:sz="4" w:space="0" w:color="auto"/>
            </w:tcBorders>
            <w:shd w:val="clear" w:color="auto" w:fill="auto"/>
            <w:vAlign w:val="bottom"/>
            <w:hideMark/>
          </w:tcPr>
          <w:p w14:paraId="7B5F6C58" w14:textId="77777777" w:rsidR="00867849" w:rsidRPr="00867849" w:rsidRDefault="00867849" w:rsidP="00867849">
            <w:pPr>
              <w:spacing w:after="0" w:line="240" w:lineRule="auto"/>
              <w:jc w:val="center"/>
              <w:rPr>
                <w:rFonts w:ascii="Calibri" w:eastAsia="Times New Roman" w:hAnsi="Calibri" w:cs="Calibri"/>
                <w:color w:val="000000"/>
                <w:sz w:val="18"/>
                <w:szCs w:val="18"/>
              </w:rPr>
            </w:pPr>
            <w:r w:rsidRPr="00867849">
              <w:rPr>
                <w:rFonts w:ascii="Calibri" w:eastAsia="Times New Roman" w:hAnsi="Calibri" w:cs="Calibri"/>
                <w:color w:val="000000"/>
                <w:sz w:val="18"/>
                <w:szCs w:val="18"/>
              </w:rPr>
              <w:t> </w:t>
            </w:r>
          </w:p>
        </w:tc>
        <w:tc>
          <w:tcPr>
            <w:tcW w:w="2970" w:type="dxa"/>
            <w:tcBorders>
              <w:top w:val="nil"/>
              <w:left w:val="nil"/>
              <w:bottom w:val="double" w:sz="6" w:space="0" w:color="auto"/>
              <w:right w:val="single" w:sz="8" w:space="0" w:color="auto"/>
            </w:tcBorders>
            <w:shd w:val="clear" w:color="auto" w:fill="auto"/>
            <w:noWrap/>
            <w:vAlign w:val="bottom"/>
            <w:hideMark/>
          </w:tcPr>
          <w:p w14:paraId="16CC789D"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3,189.20 </w:t>
            </w:r>
          </w:p>
        </w:tc>
      </w:tr>
      <w:tr w:rsidR="00867849" w:rsidRPr="00867849" w14:paraId="58643516" w14:textId="77777777" w:rsidTr="00867849">
        <w:trPr>
          <w:trHeight w:val="225"/>
        </w:trPr>
        <w:tc>
          <w:tcPr>
            <w:tcW w:w="2150" w:type="dxa"/>
            <w:tcBorders>
              <w:top w:val="nil"/>
              <w:left w:val="single" w:sz="8" w:space="0" w:color="auto"/>
              <w:bottom w:val="nil"/>
              <w:right w:val="nil"/>
            </w:tcBorders>
            <w:shd w:val="clear" w:color="auto" w:fill="auto"/>
            <w:vAlign w:val="bottom"/>
            <w:hideMark/>
          </w:tcPr>
          <w:p w14:paraId="3AB18124"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 </w:t>
            </w:r>
          </w:p>
        </w:tc>
        <w:tc>
          <w:tcPr>
            <w:tcW w:w="1530" w:type="dxa"/>
            <w:tcBorders>
              <w:top w:val="nil"/>
              <w:left w:val="nil"/>
              <w:bottom w:val="nil"/>
              <w:right w:val="nil"/>
            </w:tcBorders>
            <w:shd w:val="clear" w:color="auto" w:fill="auto"/>
            <w:noWrap/>
            <w:vAlign w:val="bottom"/>
            <w:hideMark/>
          </w:tcPr>
          <w:p w14:paraId="46B42402" w14:textId="77777777" w:rsidR="00867849" w:rsidRPr="00867849" w:rsidRDefault="00867849" w:rsidP="00867849">
            <w:pPr>
              <w:spacing w:after="0" w:line="240" w:lineRule="auto"/>
              <w:jc w:val="center"/>
              <w:rPr>
                <w:rFonts w:ascii="Calibri" w:eastAsia="Times New Roman" w:hAnsi="Calibri" w:cs="Calibri"/>
                <w:color w:val="000000"/>
                <w:sz w:val="20"/>
                <w:szCs w:val="20"/>
              </w:rPr>
            </w:pPr>
          </w:p>
        </w:tc>
        <w:tc>
          <w:tcPr>
            <w:tcW w:w="2700" w:type="dxa"/>
            <w:tcBorders>
              <w:top w:val="nil"/>
              <w:left w:val="single" w:sz="4" w:space="0" w:color="auto"/>
              <w:bottom w:val="single" w:sz="8" w:space="0" w:color="auto"/>
              <w:right w:val="single" w:sz="4" w:space="0" w:color="auto"/>
            </w:tcBorders>
            <w:shd w:val="clear" w:color="auto" w:fill="auto"/>
            <w:vAlign w:val="bottom"/>
            <w:hideMark/>
          </w:tcPr>
          <w:p w14:paraId="07D64A14" w14:textId="77777777" w:rsidR="00867849" w:rsidRPr="00867849" w:rsidRDefault="00867849" w:rsidP="00867849">
            <w:pPr>
              <w:spacing w:after="0" w:line="240" w:lineRule="auto"/>
              <w:rPr>
                <w:rFonts w:ascii="Calibri" w:eastAsia="Times New Roman" w:hAnsi="Calibri" w:cs="Calibri"/>
                <w:b/>
                <w:bCs/>
                <w:color w:val="000000"/>
                <w:sz w:val="18"/>
                <w:szCs w:val="18"/>
              </w:rPr>
            </w:pPr>
            <w:r w:rsidRPr="00867849">
              <w:rPr>
                <w:rFonts w:ascii="Calibri" w:eastAsia="Times New Roman" w:hAnsi="Calibri" w:cs="Calibri"/>
                <w:b/>
                <w:bCs/>
                <w:color w:val="000000"/>
                <w:sz w:val="18"/>
                <w:szCs w:val="18"/>
              </w:rPr>
              <w:t>Total Restricted Funds</w:t>
            </w:r>
          </w:p>
        </w:tc>
        <w:tc>
          <w:tcPr>
            <w:tcW w:w="2970" w:type="dxa"/>
            <w:tcBorders>
              <w:top w:val="nil"/>
              <w:left w:val="nil"/>
              <w:bottom w:val="nil"/>
              <w:right w:val="single" w:sz="8" w:space="0" w:color="auto"/>
            </w:tcBorders>
            <w:shd w:val="clear" w:color="auto" w:fill="auto"/>
            <w:noWrap/>
            <w:vAlign w:val="bottom"/>
            <w:hideMark/>
          </w:tcPr>
          <w:p w14:paraId="42E4A394"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48,760.65 </w:t>
            </w:r>
          </w:p>
        </w:tc>
      </w:tr>
      <w:tr w:rsidR="00867849" w:rsidRPr="00867849" w14:paraId="46789B75" w14:textId="77777777" w:rsidTr="00867849">
        <w:trPr>
          <w:trHeight w:val="300"/>
        </w:trPr>
        <w:tc>
          <w:tcPr>
            <w:tcW w:w="9350"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17558268" w14:textId="77777777" w:rsidR="00867849" w:rsidRPr="00867849" w:rsidRDefault="00867849" w:rsidP="00867849">
            <w:pPr>
              <w:spacing w:after="0" w:line="240" w:lineRule="auto"/>
              <w:jc w:val="center"/>
              <w:rPr>
                <w:rFonts w:ascii="Cambria" w:eastAsia="Times New Roman" w:hAnsi="Cambria" w:cs="Calibri"/>
                <w:b/>
                <w:bCs/>
                <w:color w:val="000000"/>
                <w:sz w:val="20"/>
                <w:szCs w:val="20"/>
              </w:rPr>
            </w:pPr>
            <w:r w:rsidRPr="00867849">
              <w:rPr>
                <w:rFonts w:ascii="Cambria" w:eastAsia="Times New Roman" w:hAnsi="Cambria" w:cs="Calibri"/>
                <w:b/>
                <w:bCs/>
                <w:color w:val="000000"/>
                <w:sz w:val="20"/>
                <w:szCs w:val="20"/>
              </w:rPr>
              <w:t>Street Fund</w:t>
            </w:r>
          </w:p>
        </w:tc>
      </w:tr>
      <w:tr w:rsidR="00867849" w:rsidRPr="00867849" w14:paraId="6D373BC1" w14:textId="77777777" w:rsidTr="00867849">
        <w:trPr>
          <w:trHeight w:val="300"/>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1BF0C2E1"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Resource</w:t>
            </w:r>
          </w:p>
        </w:tc>
        <w:tc>
          <w:tcPr>
            <w:tcW w:w="1530" w:type="dxa"/>
            <w:tcBorders>
              <w:top w:val="nil"/>
              <w:left w:val="nil"/>
              <w:bottom w:val="single" w:sz="4" w:space="0" w:color="auto"/>
              <w:right w:val="single" w:sz="4" w:space="0" w:color="auto"/>
            </w:tcBorders>
            <w:shd w:val="clear" w:color="auto" w:fill="auto"/>
            <w:noWrap/>
            <w:vAlign w:val="bottom"/>
            <w:hideMark/>
          </w:tcPr>
          <w:p w14:paraId="7E70F060"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RCW</w:t>
            </w:r>
          </w:p>
        </w:tc>
        <w:tc>
          <w:tcPr>
            <w:tcW w:w="2700" w:type="dxa"/>
            <w:tcBorders>
              <w:top w:val="nil"/>
              <w:left w:val="nil"/>
              <w:bottom w:val="single" w:sz="4" w:space="0" w:color="auto"/>
              <w:right w:val="single" w:sz="4" w:space="0" w:color="auto"/>
            </w:tcBorders>
            <w:shd w:val="clear" w:color="auto" w:fill="auto"/>
            <w:vAlign w:val="bottom"/>
            <w:hideMark/>
          </w:tcPr>
          <w:p w14:paraId="4DC28D62" w14:textId="77777777" w:rsidR="00867849" w:rsidRPr="00867849" w:rsidRDefault="00867849" w:rsidP="00867849">
            <w:pPr>
              <w:spacing w:after="0" w:line="240" w:lineRule="auto"/>
              <w:jc w:val="center"/>
              <w:rPr>
                <w:rFonts w:ascii="Calibri" w:eastAsia="Times New Roman" w:hAnsi="Calibri" w:cs="Calibri"/>
                <w:color w:val="000000"/>
                <w:sz w:val="18"/>
                <w:szCs w:val="18"/>
              </w:rPr>
            </w:pPr>
            <w:r w:rsidRPr="00867849">
              <w:rPr>
                <w:rFonts w:ascii="Calibri" w:eastAsia="Times New Roman" w:hAnsi="Calibri" w:cs="Calibri"/>
                <w:color w:val="000000"/>
                <w:sz w:val="18"/>
                <w:szCs w:val="18"/>
              </w:rPr>
              <w:t>Use</w:t>
            </w:r>
          </w:p>
        </w:tc>
        <w:tc>
          <w:tcPr>
            <w:tcW w:w="2970" w:type="dxa"/>
            <w:tcBorders>
              <w:top w:val="nil"/>
              <w:left w:val="nil"/>
              <w:bottom w:val="single" w:sz="4" w:space="0" w:color="auto"/>
              <w:right w:val="single" w:sz="8" w:space="0" w:color="auto"/>
            </w:tcBorders>
            <w:shd w:val="clear" w:color="auto" w:fill="auto"/>
            <w:noWrap/>
            <w:vAlign w:val="bottom"/>
            <w:hideMark/>
          </w:tcPr>
          <w:p w14:paraId="3BB6C1D7"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 xml:space="preserve"> End Balance </w:t>
            </w:r>
          </w:p>
        </w:tc>
      </w:tr>
      <w:tr w:rsidR="00867849" w:rsidRPr="00867849" w14:paraId="28498E24" w14:textId="77777777" w:rsidTr="00867849">
        <w:trPr>
          <w:trHeight w:val="495"/>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7AFC5578"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Multimodal Transportation City</w:t>
            </w:r>
          </w:p>
        </w:tc>
        <w:tc>
          <w:tcPr>
            <w:tcW w:w="1530" w:type="dxa"/>
            <w:tcBorders>
              <w:top w:val="nil"/>
              <w:left w:val="nil"/>
              <w:bottom w:val="single" w:sz="4" w:space="0" w:color="auto"/>
              <w:right w:val="single" w:sz="4" w:space="0" w:color="auto"/>
            </w:tcBorders>
            <w:shd w:val="clear" w:color="auto" w:fill="auto"/>
            <w:noWrap/>
            <w:vAlign w:val="bottom"/>
            <w:hideMark/>
          </w:tcPr>
          <w:p w14:paraId="3D67CE43" w14:textId="77777777" w:rsidR="00867849" w:rsidRPr="00867849" w:rsidRDefault="00867849" w:rsidP="00867849">
            <w:pPr>
              <w:spacing w:after="0" w:line="240" w:lineRule="auto"/>
              <w:jc w:val="center"/>
              <w:rPr>
                <w:rFonts w:ascii="Calibri" w:eastAsia="Times New Roman" w:hAnsi="Calibri" w:cs="Calibri"/>
                <w:b/>
                <w:bCs/>
                <w:color w:val="000000"/>
                <w:sz w:val="20"/>
                <w:szCs w:val="20"/>
              </w:rPr>
            </w:pPr>
            <w:r w:rsidRPr="00867849">
              <w:rPr>
                <w:rFonts w:ascii="Calibri" w:eastAsia="Times New Roman" w:hAnsi="Calibri" w:cs="Calibri"/>
                <w:b/>
                <w:bCs/>
                <w:color w:val="000000"/>
                <w:sz w:val="20"/>
                <w:szCs w:val="20"/>
              </w:rPr>
              <w:t>47.66.070</w:t>
            </w:r>
          </w:p>
        </w:tc>
        <w:tc>
          <w:tcPr>
            <w:tcW w:w="2700" w:type="dxa"/>
            <w:tcBorders>
              <w:top w:val="nil"/>
              <w:left w:val="nil"/>
              <w:bottom w:val="single" w:sz="4" w:space="0" w:color="auto"/>
              <w:right w:val="single" w:sz="4" w:space="0" w:color="auto"/>
            </w:tcBorders>
            <w:shd w:val="clear" w:color="auto" w:fill="auto"/>
            <w:vAlign w:val="bottom"/>
            <w:hideMark/>
          </w:tcPr>
          <w:p w14:paraId="5260A8F2"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Transportation purpose only</w:t>
            </w:r>
          </w:p>
        </w:tc>
        <w:tc>
          <w:tcPr>
            <w:tcW w:w="2970" w:type="dxa"/>
            <w:tcBorders>
              <w:top w:val="nil"/>
              <w:left w:val="nil"/>
              <w:bottom w:val="nil"/>
              <w:right w:val="single" w:sz="8" w:space="0" w:color="auto"/>
            </w:tcBorders>
            <w:shd w:val="clear" w:color="auto" w:fill="auto"/>
            <w:noWrap/>
            <w:vAlign w:val="bottom"/>
            <w:hideMark/>
          </w:tcPr>
          <w:p w14:paraId="613E2620"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5,258.83 </w:t>
            </w:r>
          </w:p>
        </w:tc>
      </w:tr>
      <w:tr w:rsidR="00867849" w:rsidRPr="00867849" w14:paraId="7A3E48DD" w14:textId="77777777" w:rsidTr="00867849">
        <w:trPr>
          <w:trHeight w:val="315"/>
        </w:trPr>
        <w:tc>
          <w:tcPr>
            <w:tcW w:w="2150" w:type="dxa"/>
            <w:tcBorders>
              <w:top w:val="nil"/>
              <w:left w:val="single" w:sz="8" w:space="0" w:color="auto"/>
              <w:bottom w:val="single" w:sz="8" w:space="0" w:color="auto"/>
              <w:right w:val="single" w:sz="4" w:space="0" w:color="auto"/>
            </w:tcBorders>
            <w:shd w:val="clear" w:color="auto" w:fill="auto"/>
            <w:vAlign w:val="bottom"/>
            <w:hideMark/>
          </w:tcPr>
          <w:p w14:paraId="28DEBFDD" w14:textId="77777777" w:rsidR="00867849" w:rsidRPr="00867849" w:rsidRDefault="00867849" w:rsidP="00867849">
            <w:pPr>
              <w:spacing w:after="0" w:line="240" w:lineRule="auto"/>
              <w:rPr>
                <w:rFonts w:ascii="Calibri" w:eastAsia="Times New Roman" w:hAnsi="Calibri" w:cs="Calibri"/>
                <w:b/>
                <w:bCs/>
                <w:color w:val="000000"/>
                <w:sz w:val="20"/>
                <w:szCs w:val="20"/>
              </w:rPr>
            </w:pPr>
            <w:r w:rsidRPr="00867849">
              <w:rPr>
                <w:rFonts w:ascii="Calibri" w:eastAsia="Times New Roman" w:hAnsi="Calibri" w:cs="Calibri"/>
                <w:b/>
                <w:bCs/>
                <w:color w:val="000000"/>
                <w:sz w:val="20"/>
                <w:szCs w:val="20"/>
              </w:rPr>
              <w:t> </w:t>
            </w:r>
          </w:p>
        </w:tc>
        <w:tc>
          <w:tcPr>
            <w:tcW w:w="1530" w:type="dxa"/>
            <w:tcBorders>
              <w:top w:val="nil"/>
              <w:left w:val="nil"/>
              <w:bottom w:val="single" w:sz="8" w:space="0" w:color="auto"/>
              <w:right w:val="single" w:sz="4" w:space="0" w:color="auto"/>
            </w:tcBorders>
            <w:shd w:val="clear" w:color="auto" w:fill="auto"/>
            <w:noWrap/>
            <w:vAlign w:val="bottom"/>
            <w:hideMark/>
          </w:tcPr>
          <w:p w14:paraId="04735163" w14:textId="77777777" w:rsidR="00867849" w:rsidRPr="00867849" w:rsidRDefault="00867849" w:rsidP="00867849">
            <w:pPr>
              <w:spacing w:after="0" w:line="240" w:lineRule="auto"/>
              <w:rPr>
                <w:rFonts w:ascii="Calibri" w:eastAsia="Times New Roman" w:hAnsi="Calibri" w:cs="Calibri"/>
                <w:b/>
                <w:bCs/>
                <w:color w:val="000000"/>
                <w:sz w:val="20"/>
                <w:szCs w:val="20"/>
              </w:rPr>
            </w:pPr>
            <w:r w:rsidRPr="00867849">
              <w:rPr>
                <w:rFonts w:ascii="Calibri" w:eastAsia="Times New Roman" w:hAnsi="Calibri" w:cs="Calibri"/>
                <w:b/>
                <w:bCs/>
                <w:color w:val="000000"/>
                <w:sz w:val="20"/>
                <w:szCs w:val="20"/>
              </w:rPr>
              <w:t> </w:t>
            </w:r>
          </w:p>
        </w:tc>
        <w:tc>
          <w:tcPr>
            <w:tcW w:w="2700" w:type="dxa"/>
            <w:tcBorders>
              <w:top w:val="nil"/>
              <w:left w:val="nil"/>
              <w:bottom w:val="single" w:sz="8" w:space="0" w:color="auto"/>
              <w:right w:val="single" w:sz="4" w:space="0" w:color="auto"/>
            </w:tcBorders>
            <w:shd w:val="clear" w:color="auto" w:fill="auto"/>
            <w:vAlign w:val="bottom"/>
            <w:hideMark/>
          </w:tcPr>
          <w:p w14:paraId="5705FD1C" w14:textId="77777777" w:rsidR="00867849" w:rsidRPr="00867849" w:rsidRDefault="00867849" w:rsidP="00867849">
            <w:pPr>
              <w:spacing w:after="0" w:line="240" w:lineRule="auto"/>
              <w:rPr>
                <w:rFonts w:ascii="Calibri" w:eastAsia="Times New Roman" w:hAnsi="Calibri" w:cs="Calibri"/>
                <w:b/>
                <w:bCs/>
                <w:color w:val="000000"/>
                <w:sz w:val="18"/>
                <w:szCs w:val="18"/>
              </w:rPr>
            </w:pPr>
            <w:r w:rsidRPr="00867849">
              <w:rPr>
                <w:rFonts w:ascii="Calibri" w:eastAsia="Times New Roman" w:hAnsi="Calibri" w:cs="Calibri"/>
                <w:b/>
                <w:bCs/>
                <w:color w:val="000000"/>
                <w:sz w:val="18"/>
                <w:szCs w:val="18"/>
              </w:rPr>
              <w:t>Total Restricted Funds</w:t>
            </w:r>
          </w:p>
        </w:tc>
        <w:tc>
          <w:tcPr>
            <w:tcW w:w="2970" w:type="dxa"/>
            <w:tcBorders>
              <w:top w:val="nil"/>
              <w:left w:val="nil"/>
              <w:bottom w:val="nil"/>
              <w:right w:val="single" w:sz="8" w:space="0" w:color="auto"/>
            </w:tcBorders>
            <w:shd w:val="clear" w:color="auto" w:fill="auto"/>
            <w:noWrap/>
            <w:vAlign w:val="bottom"/>
            <w:hideMark/>
          </w:tcPr>
          <w:p w14:paraId="1BCBF337"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5,258.83 </w:t>
            </w:r>
          </w:p>
        </w:tc>
      </w:tr>
      <w:tr w:rsidR="00867849" w:rsidRPr="00867849" w14:paraId="7EE4D7DD" w14:textId="77777777" w:rsidTr="00867849">
        <w:trPr>
          <w:trHeight w:val="430"/>
        </w:trPr>
        <w:tc>
          <w:tcPr>
            <w:tcW w:w="9350"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27E35DB" w14:textId="77777777" w:rsidR="00867849" w:rsidRPr="00867849" w:rsidRDefault="00867849" w:rsidP="00867849">
            <w:pPr>
              <w:spacing w:after="0" w:line="240" w:lineRule="auto"/>
              <w:jc w:val="center"/>
              <w:rPr>
                <w:rFonts w:ascii="Cambria" w:eastAsia="Times New Roman" w:hAnsi="Cambria" w:cs="Calibri"/>
                <w:b/>
                <w:bCs/>
                <w:color w:val="000000"/>
                <w:sz w:val="20"/>
                <w:szCs w:val="20"/>
              </w:rPr>
            </w:pPr>
            <w:r w:rsidRPr="00867849">
              <w:rPr>
                <w:rFonts w:ascii="Cambria" w:eastAsia="Times New Roman" w:hAnsi="Cambria" w:cs="Calibri"/>
                <w:b/>
                <w:bCs/>
                <w:color w:val="000000"/>
                <w:sz w:val="20"/>
                <w:szCs w:val="20"/>
              </w:rPr>
              <w:t>Street Capital Equipment Fund</w:t>
            </w:r>
          </w:p>
        </w:tc>
      </w:tr>
      <w:tr w:rsidR="00867849" w:rsidRPr="00867849" w14:paraId="0AC61B13" w14:textId="77777777" w:rsidTr="00867849">
        <w:trPr>
          <w:trHeight w:val="300"/>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2C3A3A2A"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Resource</w:t>
            </w:r>
          </w:p>
        </w:tc>
        <w:tc>
          <w:tcPr>
            <w:tcW w:w="1530" w:type="dxa"/>
            <w:tcBorders>
              <w:top w:val="nil"/>
              <w:left w:val="nil"/>
              <w:bottom w:val="single" w:sz="4" w:space="0" w:color="auto"/>
              <w:right w:val="single" w:sz="4" w:space="0" w:color="auto"/>
            </w:tcBorders>
            <w:shd w:val="clear" w:color="auto" w:fill="auto"/>
            <w:noWrap/>
            <w:vAlign w:val="bottom"/>
            <w:hideMark/>
          </w:tcPr>
          <w:p w14:paraId="50D620EB"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Ordinance</w:t>
            </w:r>
          </w:p>
        </w:tc>
        <w:tc>
          <w:tcPr>
            <w:tcW w:w="2700" w:type="dxa"/>
            <w:tcBorders>
              <w:top w:val="nil"/>
              <w:left w:val="nil"/>
              <w:bottom w:val="single" w:sz="4" w:space="0" w:color="auto"/>
              <w:right w:val="single" w:sz="4" w:space="0" w:color="auto"/>
            </w:tcBorders>
            <w:shd w:val="clear" w:color="auto" w:fill="auto"/>
            <w:vAlign w:val="bottom"/>
            <w:hideMark/>
          </w:tcPr>
          <w:p w14:paraId="41B9B209" w14:textId="77777777" w:rsidR="00867849" w:rsidRPr="00867849" w:rsidRDefault="00867849" w:rsidP="00867849">
            <w:pPr>
              <w:spacing w:after="0" w:line="240" w:lineRule="auto"/>
              <w:jc w:val="center"/>
              <w:rPr>
                <w:rFonts w:ascii="Calibri" w:eastAsia="Times New Roman" w:hAnsi="Calibri" w:cs="Calibri"/>
                <w:color w:val="000000"/>
                <w:sz w:val="18"/>
                <w:szCs w:val="18"/>
              </w:rPr>
            </w:pPr>
            <w:r w:rsidRPr="00867849">
              <w:rPr>
                <w:rFonts w:ascii="Calibri" w:eastAsia="Times New Roman" w:hAnsi="Calibri" w:cs="Calibri"/>
                <w:color w:val="000000"/>
                <w:sz w:val="18"/>
                <w:szCs w:val="18"/>
              </w:rPr>
              <w:t>Use</w:t>
            </w:r>
          </w:p>
        </w:tc>
        <w:tc>
          <w:tcPr>
            <w:tcW w:w="2970" w:type="dxa"/>
            <w:tcBorders>
              <w:top w:val="nil"/>
              <w:left w:val="nil"/>
              <w:bottom w:val="single" w:sz="4" w:space="0" w:color="auto"/>
              <w:right w:val="single" w:sz="8" w:space="0" w:color="auto"/>
            </w:tcBorders>
            <w:shd w:val="clear" w:color="auto" w:fill="auto"/>
            <w:noWrap/>
            <w:vAlign w:val="bottom"/>
            <w:hideMark/>
          </w:tcPr>
          <w:p w14:paraId="0BEFD4DF"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 xml:space="preserve"> End Balance </w:t>
            </w:r>
          </w:p>
        </w:tc>
      </w:tr>
      <w:tr w:rsidR="00867849" w:rsidRPr="00867849" w14:paraId="6314A2C5" w14:textId="77777777" w:rsidTr="00867849">
        <w:trPr>
          <w:trHeight w:val="540"/>
        </w:trPr>
        <w:tc>
          <w:tcPr>
            <w:tcW w:w="2150" w:type="dxa"/>
            <w:tcBorders>
              <w:top w:val="nil"/>
              <w:left w:val="single" w:sz="8" w:space="0" w:color="auto"/>
              <w:bottom w:val="double" w:sz="6" w:space="0" w:color="auto"/>
              <w:right w:val="single" w:sz="4" w:space="0" w:color="auto"/>
            </w:tcBorders>
            <w:shd w:val="clear" w:color="auto" w:fill="auto"/>
            <w:vAlign w:val="bottom"/>
            <w:hideMark/>
          </w:tcPr>
          <w:p w14:paraId="6D0953E2"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Transfers from Street Fund</w:t>
            </w:r>
          </w:p>
        </w:tc>
        <w:tc>
          <w:tcPr>
            <w:tcW w:w="1530" w:type="dxa"/>
            <w:tcBorders>
              <w:top w:val="nil"/>
              <w:left w:val="nil"/>
              <w:bottom w:val="double" w:sz="6" w:space="0" w:color="auto"/>
              <w:right w:val="single" w:sz="4" w:space="0" w:color="auto"/>
            </w:tcBorders>
            <w:shd w:val="clear" w:color="auto" w:fill="auto"/>
            <w:noWrap/>
            <w:vAlign w:val="bottom"/>
            <w:hideMark/>
          </w:tcPr>
          <w:p w14:paraId="19E3F6D8"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588</w:t>
            </w:r>
          </w:p>
        </w:tc>
        <w:tc>
          <w:tcPr>
            <w:tcW w:w="2700" w:type="dxa"/>
            <w:tcBorders>
              <w:top w:val="nil"/>
              <w:left w:val="nil"/>
              <w:bottom w:val="double" w:sz="6" w:space="0" w:color="auto"/>
              <w:right w:val="single" w:sz="4" w:space="0" w:color="auto"/>
            </w:tcBorders>
            <w:shd w:val="clear" w:color="auto" w:fill="auto"/>
            <w:vAlign w:val="bottom"/>
            <w:hideMark/>
          </w:tcPr>
          <w:p w14:paraId="59818C1E"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Capital Equipment</w:t>
            </w:r>
          </w:p>
        </w:tc>
        <w:tc>
          <w:tcPr>
            <w:tcW w:w="2970" w:type="dxa"/>
            <w:tcBorders>
              <w:top w:val="nil"/>
              <w:left w:val="nil"/>
              <w:bottom w:val="double" w:sz="6" w:space="0" w:color="auto"/>
              <w:right w:val="single" w:sz="8" w:space="0" w:color="auto"/>
            </w:tcBorders>
            <w:shd w:val="clear" w:color="auto" w:fill="auto"/>
            <w:noWrap/>
            <w:vAlign w:val="bottom"/>
            <w:hideMark/>
          </w:tcPr>
          <w:p w14:paraId="59E937F5"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24,813.46 </w:t>
            </w:r>
          </w:p>
        </w:tc>
      </w:tr>
      <w:tr w:rsidR="00867849" w:rsidRPr="00867849" w14:paraId="1D200559" w14:textId="77777777" w:rsidTr="00867849">
        <w:trPr>
          <w:trHeight w:val="330"/>
        </w:trPr>
        <w:tc>
          <w:tcPr>
            <w:tcW w:w="2150" w:type="dxa"/>
            <w:tcBorders>
              <w:top w:val="nil"/>
              <w:left w:val="single" w:sz="8" w:space="0" w:color="auto"/>
              <w:bottom w:val="nil"/>
              <w:right w:val="nil"/>
            </w:tcBorders>
            <w:shd w:val="clear" w:color="auto" w:fill="auto"/>
            <w:vAlign w:val="bottom"/>
            <w:hideMark/>
          </w:tcPr>
          <w:p w14:paraId="29B54792"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 </w:t>
            </w:r>
          </w:p>
        </w:tc>
        <w:tc>
          <w:tcPr>
            <w:tcW w:w="1530" w:type="dxa"/>
            <w:tcBorders>
              <w:top w:val="nil"/>
              <w:left w:val="nil"/>
              <w:bottom w:val="nil"/>
              <w:right w:val="nil"/>
            </w:tcBorders>
            <w:shd w:val="clear" w:color="auto" w:fill="auto"/>
            <w:noWrap/>
            <w:vAlign w:val="bottom"/>
            <w:hideMark/>
          </w:tcPr>
          <w:p w14:paraId="2A876403" w14:textId="77777777" w:rsidR="00867849" w:rsidRPr="00867849" w:rsidRDefault="00867849" w:rsidP="00867849">
            <w:pPr>
              <w:spacing w:after="0" w:line="240" w:lineRule="auto"/>
              <w:rPr>
                <w:rFonts w:ascii="Calibri" w:eastAsia="Times New Roman" w:hAnsi="Calibri" w:cs="Calibri"/>
                <w:color w:val="000000"/>
                <w:sz w:val="20"/>
                <w:szCs w:val="20"/>
              </w:rPr>
            </w:pPr>
          </w:p>
        </w:tc>
        <w:tc>
          <w:tcPr>
            <w:tcW w:w="2700" w:type="dxa"/>
            <w:tcBorders>
              <w:top w:val="nil"/>
              <w:left w:val="single" w:sz="4" w:space="0" w:color="auto"/>
              <w:bottom w:val="single" w:sz="8" w:space="0" w:color="auto"/>
              <w:right w:val="single" w:sz="4" w:space="0" w:color="auto"/>
            </w:tcBorders>
            <w:shd w:val="clear" w:color="auto" w:fill="auto"/>
            <w:vAlign w:val="bottom"/>
            <w:hideMark/>
          </w:tcPr>
          <w:p w14:paraId="271494DE" w14:textId="77777777" w:rsidR="00867849" w:rsidRPr="00867849" w:rsidRDefault="00867849" w:rsidP="00867849">
            <w:pPr>
              <w:spacing w:after="0" w:line="240" w:lineRule="auto"/>
              <w:rPr>
                <w:rFonts w:ascii="Calibri" w:eastAsia="Times New Roman" w:hAnsi="Calibri" w:cs="Calibri"/>
                <w:b/>
                <w:bCs/>
                <w:color w:val="000000"/>
                <w:sz w:val="18"/>
                <w:szCs w:val="18"/>
              </w:rPr>
            </w:pPr>
            <w:r w:rsidRPr="00867849">
              <w:rPr>
                <w:rFonts w:ascii="Calibri" w:eastAsia="Times New Roman" w:hAnsi="Calibri" w:cs="Calibri"/>
                <w:b/>
                <w:bCs/>
                <w:color w:val="000000"/>
                <w:sz w:val="18"/>
                <w:szCs w:val="18"/>
              </w:rPr>
              <w:t>Total Restricted Funds</w:t>
            </w:r>
          </w:p>
        </w:tc>
        <w:tc>
          <w:tcPr>
            <w:tcW w:w="2970" w:type="dxa"/>
            <w:tcBorders>
              <w:top w:val="nil"/>
              <w:left w:val="nil"/>
              <w:bottom w:val="nil"/>
              <w:right w:val="single" w:sz="8" w:space="0" w:color="auto"/>
            </w:tcBorders>
            <w:shd w:val="clear" w:color="auto" w:fill="auto"/>
            <w:noWrap/>
            <w:vAlign w:val="bottom"/>
            <w:hideMark/>
          </w:tcPr>
          <w:p w14:paraId="5B9FD0F4"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24,813.46 </w:t>
            </w:r>
          </w:p>
        </w:tc>
      </w:tr>
      <w:tr w:rsidR="00867849" w:rsidRPr="00867849" w14:paraId="0E840099" w14:textId="77777777" w:rsidTr="00867849">
        <w:trPr>
          <w:trHeight w:val="300"/>
        </w:trPr>
        <w:tc>
          <w:tcPr>
            <w:tcW w:w="9350"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7079DF9A" w14:textId="77777777" w:rsidR="00867849" w:rsidRPr="00867849" w:rsidRDefault="00867849" w:rsidP="00867849">
            <w:pPr>
              <w:spacing w:after="0" w:line="240" w:lineRule="auto"/>
              <w:jc w:val="center"/>
              <w:rPr>
                <w:rFonts w:ascii="Cambria" w:eastAsia="Times New Roman" w:hAnsi="Cambria" w:cs="Calibri"/>
                <w:b/>
                <w:bCs/>
                <w:color w:val="000000"/>
                <w:sz w:val="20"/>
                <w:szCs w:val="20"/>
              </w:rPr>
            </w:pPr>
            <w:r w:rsidRPr="00867849">
              <w:rPr>
                <w:rFonts w:ascii="Cambria" w:eastAsia="Times New Roman" w:hAnsi="Cambria" w:cs="Calibri"/>
                <w:b/>
                <w:bCs/>
                <w:color w:val="000000"/>
                <w:sz w:val="20"/>
                <w:szCs w:val="20"/>
              </w:rPr>
              <w:lastRenderedPageBreak/>
              <w:t>Street Improvement Fund</w:t>
            </w:r>
          </w:p>
        </w:tc>
      </w:tr>
      <w:tr w:rsidR="00867849" w:rsidRPr="00867849" w14:paraId="7A0B22DD" w14:textId="77777777" w:rsidTr="00867849">
        <w:trPr>
          <w:trHeight w:val="300"/>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7917A58D"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Resource</w:t>
            </w:r>
          </w:p>
        </w:tc>
        <w:tc>
          <w:tcPr>
            <w:tcW w:w="1530" w:type="dxa"/>
            <w:tcBorders>
              <w:top w:val="nil"/>
              <w:left w:val="nil"/>
              <w:bottom w:val="single" w:sz="4" w:space="0" w:color="auto"/>
              <w:right w:val="single" w:sz="4" w:space="0" w:color="auto"/>
            </w:tcBorders>
            <w:shd w:val="clear" w:color="auto" w:fill="auto"/>
            <w:noWrap/>
            <w:vAlign w:val="bottom"/>
            <w:hideMark/>
          </w:tcPr>
          <w:p w14:paraId="1B37065D"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RCW</w:t>
            </w:r>
          </w:p>
        </w:tc>
        <w:tc>
          <w:tcPr>
            <w:tcW w:w="2700" w:type="dxa"/>
            <w:tcBorders>
              <w:top w:val="nil"/>
              <w:left w:val="nil"/>
              <w:bottom w:val="single" w:sz="4" w:space="0" w:color="auto"/>
              <w:right w:val="single" w:sz="4" w:space="0" w:color="auto"/>
            </w:tcBorders>
            <w:shd w:val="clear" w:color="auto" w:fill="auto"/>
            <w:vAlign w:val="bottom"/>
            <w:hideMark/>
          </w:tcPr>
          <w:p w14:paraId="28FBE63E" w14:textId="77777777" w:rsidR="00867849" w:rsidRPr="00867849" w:rsidRDefault="00867849" w:rsidP="00867849">
            <w:pPr>
              <w:spacing w:after="0" w:line="240" w:lineRule="auto"/>
              <w:jc w:val="center"/>
              <w:rPr>
                <w:rFonts w:ascii="Calibri" w:eastAsia="Times New Roman" w:hAnsi="Calibri" w:cs="Calibri"/>
                <w:color w:val="000000"/>
                <w:sz w:val="18"/>
                <w:szCs w:val="18"/>
              </w:rPr>
            </w:pPr>
            <w:r w:rsidRPr="00867849">
              <w:rPr>
                <w:rFonts w:ascii="Calibri" w:eastAsia="Times New Roman" w:hAnsi="Calibri" w:cs="Calibri"/>
                <w:color w:val="000000"/>
                <w:sz w:val="18"/>
                <w:szCs w:val="18"/>
              </w:rPr>
              <w:t>Use</w:t>
            </w:r>
          </w:p>
        </w:tc>
        <w:tc>
          <w:tcPr>
            <w:tcW w:w="2970" w:type="dxa"/>
            <w:tcBorders>
              <w:top w:val="nil"/>
              <w:left w:val="nil"/>
              <w:bottom w:val="single" w:sz="4" w:space="0" w:color="auto"/>
              <w:right w:val="single" w:sz="8" w:space="0" w:color="auto"/>
            </w:tcBorders>
            <w:shd w:val="clear" w:color="auto" w:fill="auto"/>
            <w:noWrap/>
            <w:vAlign w:val="bottom"/>
            <w:hideMark/>
          </w:tcPr>
          <w:p w14:paraId="62BCA4CC"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 xml:space="preserve"> End Balance </w:t>
            </w:r>
          </w:p>
        </w:tc>
      </w:tr>
      <w:tr w:rsidR="00867849" w:rsidRPr="00867849" w14:paraId="61D1275E" w14:textId="77777777" w:rsidTr="00867849">
        <w:trPr>
          <w:trHeight w:val="495"/>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184562B0"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Real Estate Excise Tax</w:t>
            </w:r>
          </w:p>
        </w:tc>
        <w:tc>
          <w:tcPr>
            <w:tcW w:w="1530" w:type="dxa"/>
            <w:tcBorders>
              <w:top w:val="nil"/>
              <w:left w:val="nil"/>
              <w:bottom w:val="single" w:sz="4" w:space="0" w:color="auto"/>
              <w:right w:val="single" w:sz="4" w:space="0" w:color="auto"/>
            </w:tcBorders>
            <w:shd w:val="clear" w:color="auto" w:fill="auto"/>
            <w:noWrap/>
            <w:vAlign w:val="bottom"/>
            <w:hideMark/>
          </w:tcPr>
          <w:p w14:paraId="38E7AAB7" w14:textId="77777777" w:rsidR="00867849" w:rsidRPr="00867849" w:rsidRDefault="00867849" w:rsidP="00867849">
            <w:pPr>
              <w:spacing w:after="0" w:line="240" w:lineRule="auto"/>
              <w:jc w:val="center"/>
              <w:rPr>
                <w:rFonts w:ascii="Calibri" w:eastAsia="Times New Roman" w:hAnsi="Calibri" w:cs="Calibri"/>
                <w:b/>
                <w:bCs/>
                <w:color w:val="000000"/>
                <w:sz w:val="20"/>
                <w:szCs w:val="20"/>
              </w:rPr>
            </w:pPr>
            <w:r w:rsidRPr="00867849">
              <w:rPr>
                <w:rFonts w:ascii="Calibri" w:eastAsia="Times New Roman" w:hAnsi="Calibri" w:cs="Calibri"/>
                <w:b/>
                <w:bCs/>
                <w:color w:val="000000"/>
                <w:sz w:val="20"/>
                <w:szCs w:val="20"/>
              </w:rPr>
              <w:t>82.46.010 (2)</w:t>
            </w:r>
          </w:p>
        </w:tc>
        <w:tc>
          <w:tcPr>
            <w:tcW w:w="2700" w:type="dxa"/>
            <w:tcBorders>
              <w:top w:val="nil"/>
              <w:left w:val="nil"/>
              <w:bottom w:val="single" w:sz="4" w:space="0" w:color="auto"/>
              <w:right w:val="single" w:sz="4" w:space="0" w:color="auto"/>
            </w:tcBorders>
            <w:shd w:val="clear" w:color="auto" w:fill="auto"/>
            <w:vAlign w:val="bottom"/>
            <w:hideMark/>
          </w:tcPr>
          <w:p w14:paraId="2A8D11D6"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Capital Facilities Plan/Capital Projects</w:t>
            </w:r>
          </w:p>
        </w:tc>
        <w:tc>
          <w:tcPr>
            <w:tcW w:w="2970" w:type="dxa"/>
            <w:tcBorders>
              <w:top w:val="nil"/>
              <w:left w:val="nil"/>
              <w:bottom w:val="single" w:sz="4" w:space="0" w:color="auto"/>
              <w:right w:val="single" w:sz="8" w:space="0" w:color="auto"/>
            </w:tcBorders>
            <w:shd w:val="clear" w:color="auto" w:fill="auto"/>
            <w:noWrap/>
            <w:vAlign w:val="bottom"/>
            <w:hideMark/>
          </w:tcPr>
          <w:p w14:paraId="00F2130A"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199,386.06 </w:t>
            </w:r>
          </w:p>
        </w:tc>
      </w:tr>
      <w:tr w:rsidR="00867849" w:rsidRPr="00867849" w14:paraId="5D75E263" w14:textId="77777777" w:rsidTr="00867849">
        <w:trPr>
          <w:trHeight w:val="300"/>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2FE03EF5"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Investment Interest</w:t>
            </w:r>
          </w:p>
        </w:tc>
        <w:tc>
          <w:tcPr>
            <w:tcW w:w="1530" w:type="dxa"/>
            <w:tcBorders>
              <w:top w:val="nil"/>
              <w:left w:val="nil"/>
              <w:bottom w:val="single" w:sz="4" w:space="0" w:color="auto"/>
              <w:right w:val="single" w:sz="4" w:space="0" w:color="auto"/>
            </w:tcBorders>
            <w:shd w:val="clear" w:color="auto" w:fill="auto"/>
            <w:noWrap/>
            <w:vAlign w:val="bottom"/>
            <w:hideMark/>
          </w:tcPr>
          <w:p w14:paraId="48DBFAF8"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 </w:t>
            </w:r>
          </w:p>
        </w:tc>
        <w:tc>
          <w:tcPr>
            <w:tcW w:w="2700" w:type="dxa"/>
            <w:tcBorders>
              <w:top w:val="nil"/>
              <w:left w:val="nil"/>
              <w:bottom w:val="single" w:sz="4" w:space="0" w:color="auto"/>
              <w:right w:val="single" w:sz="4" w:space="0" w:color="auto"/>
            </w:tcBorders>
            <w:shd w:val="clear" w:color="auto" w:fill="auto"/>
            <w:vAlign w:val="bottom"/>
            <w:hideMark/>
          </w:tcPr>
          <w:p w14:paraId="3A37DE40"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 </w:t>
            </w:r>
          </w:p>
        </w:tc>
        <w:tc>
          <w:tcPr>
            <w:tcW w:w="2970" w:type="dxa"/>
            <w:tcBorders>
              <w:top w:val="nil"/>
              <w:left w:val="nil"/>
              <w:bottom w:val="single" w:sz="4" w:space="0" w:color="auto"/>
              <w:right w:val="single" w:sz="8" w:space="0" w:color="auto"/>
            </w:tcBorders>
            <w:shd w:val="clear" w:color="auto" w:fill="auto"/>
            <w:noWrap/>
            <w:vAlign w:val="bottom"/>
            <w:hideMark/>
          </w:tcPr>
          <w:p w14:paraId="0C561525"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1,741.44 </w:t>
            </w:r>
          </w:p>
        </w:tc>
      </w:tr>
      <w:tr w:rsidR="00867849" w:rsidRPr="00867849" w14:paraId="25D5757A" w14:textId="77777777" w:rsidTr="00867849">
        <w:trPr>
          <w:trHeight w:val="525"/>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0E7AE7C7"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Performance Bond Agreement</w:t>
            </w:r>
          </w:p>
        </w:tc>
        <w:tc>
          <w:tcPr>
            <w:tcW w:w="1530" w:type="dxa"/>
            <w:tcBorders>
              <w:top w:val="nil"/>
              <w:left w:val="nil"/>
              <w:bottom w:val="single" w:sz="4" w:space="0" w:color="auto"/>
              <w:right w:val="single" w:sz="4" w:space="0" w:color="auto"/>
            </w:tcBorders>
            <w:shd w:val="clear" w:color="auto" w:fill="auto"/>
            <w:noWrap/>
            <w:vAlign w:val="bottom"/>
            <w:hideMark/>
          </w:tcPr>
          <w:p w14:paraId="1C1A81C8"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 </w:t>
            </w:r>
          </w:p>
        </w:tc>
        <w:tc>
          <w:tcPr>
            <w:tcW w:w="2700" w:type="dxa"/>
            <w:tcBorders>
              <w:top w:val="nil"/>
              <w:left w:val="nil"/>
              <w:bottom w:val="single" w:sz="4" w:space="0" w:color="auto"/>
              <w:right w:val="single" w:sz="4" w:space="0" w:color="auto"/>
            </w:tcBorders>
            <w:shd w:val="clear" w:color="auto" w:fill="auto"/>
            <w:vAlign w:val="bottom"/>
            <w:hideMark/>
          </w:tcPr>
          <w:p w14:paraId="3FF189E2"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Trailer Station Street Lights</w:t>
            </w:r>
          </w:p>
        </w:tc>
        <w:tc>
          <w:tcPr>
            <w:tcW w:w="2970" w:type="dxa"/>
            <w:tcBorders>
              <w:top w:val="nil"/>
              <w:left w:val="nil"/>
              <w:bottom w:val="single" w:sz="4" w:space="0" w:color="auto"/>
              <w:right w:val="single" w:sz="8" w:space="0" w:color="auto"/>
            </w:tcBorders>
            <w:shd w:val="clear" w:color="auto" w:fill="auto"/>
            <w:noWrap/>
            <w:vAlign w:val="bottom"/>
            <w:hideMark/>
          </w:tcPr>
          <w:p w14:paraId="30436DBB"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580.22 </w:t>
            </w:r>
          </w:p>
        </w:tc>
      </w:tr>
      <w:tr w:rsidR="00867849" w:rsidRPr="00867849" w14:paraId="13AEAC6E" w14:textId="77777777" w:rsidTr="00867849">
        <w:trPr>
          <w:trHeight w:val="300"/>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09089B4C"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Retainage Deposits</w:t>
            </w:r>
          </w:p>
        </w:tc>
        <w:tc>
          <w:tcPr>
            <w:tcW w:w="1530" w:type="dxa"/>
            <w:tcBorders>
              <w:top w:val="nil"/>
              <w:left w:val="nil"/>
              <w:bottom w:val="single" w:sz="4" w:space="0" w:color="auto"/>
              <w:right w:val="single" w:sz="4" w:space="0" w:color="auto"/>
            </w:tcBorders>
            <w:shd w:val="clear" w:color="auto" w:fill="auto"/>
            <w:noWrap/>
            <w:vAlign w:val="bottom"/>
            <w:hideMark/>
          </w:tcPr>
          <w:p w14:paraId="2A3A5B26" w14:textId="77777777" w:rsidR="00867849" w:rsidRPr="00867849" w:rsidRDefault="00867849" w:rsidP="00867849">
            <w:pPr>
              <w:spacing w:after="0" w:line="240" w:lineRule="auto"/>
              <w:jc w:val="center"/>
              <w:rPr>
                <w:rFonts w:ascii="Calibri" w:eastAsia="Times New Roman" w:hAnsi="Calibri" w:cs="Calibri"/>
                <w:b/>
                <w:bCs/>
                <w:color w:val="000000"/>
                <w:sz w:val="20"/>
                <w:szCs w:val="20"/>
              </w:rPr>
            </w:pPr>
            <w:r w:rsidRPr="00867849">
              <w:rPr>
                <w:rFonts w:ascii="Calibri" w:eastAsia="Times New Roman" w:hAnsi="Calibri" w:cs="Calibri"/>
                <w:b/>
                <w:bCs/>
                <w:color w:val="000000"/>
                <w:sz w:val="20"/>
                <w:szCs w:val="20"/>
              </w:rPr>
              <w:t> </w:t>
            </w:r>
          </w:p>
        </w:tc>
        <w:tc>
          <w:tcPr>
            <w:tcW w:w="2700" w:type="dxa"/>
            <w:tcBorders>
              <w:top w:val="nil"/>
              <w:left w:val="nil"/>
              <w:bottom w:val="single" w:sz="4" w:space="0" w:color="auto"/>
              <w:right w:val="single" w:sz="4" w:space="0" w:color="auto"/>
            </w:tcBorders>
            <w:shd w:val="clear" w:color="auto" w:fill="auto"/>
            <w:vAlign w:val="bottom"/>
            <w:hideMark/>
          </w:tcPr>
          <w:p w14:paraId="1BC77E8C"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Clark Street Lights</w:t>
            </w:r>
          </w:p>
        </w:tc>
        <w:tc>
          <w:tcPr>
            <w:tcW w:w="2970" w:type="dxa"/>
            <w:tcBorders>
              <w:top w:val="nil"/>
              <w:left w:val="nil"/>
              <w:bottom w:val="single" w:sz="4" w:space="0" w:color="auto"/>
              <w:right w:val="single" w:sz="8" w:space="0" w:color="auto"/>
            </w:tcBorders>
            <w:shd w:val="clear" w:color="auto" w:fill="auto"/>
            <w:noWrap/>
            <w:vAlign w:val="bottom"/>
            <w:hideMark/>
          </w:tcPr>
          <w:p w14:paraId="4F4E8E1C"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6,267.50 </w:t>
            </w:r>
          </w:p>
        </w:tc>
      </w:tr>
      <w:tr w:rsidR="00867849" w:rsidRPr="00867849" w14:paraId="059279C8" w14:textId="77777777" w:rsidTr="00867849">
        <w:trPr>
          <w:trHeight w:val="300"/>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2F19ACC9"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Retainage Deposits</w:t>
            </w:r>
          </w:p>
        </w:tc>
        <w:tc>
          <w:tcPr>
            <w:tcW w:w="1530" w:type="dxa"/>
            <w:tcBorders>
              <w:top w:val="nil"/>
              <w:left w:val="nil"/>
              <w:bottom w:val="single" w:sz="4" w:space="0" w:color="auto"/>
              <w:right w:val="single" w:sz="4" w:space="0" w:color="auto"/>
            </w:tcBorders>
            <w:shd w:val="clear" w:color="auto" w:fill="auto"/>
            <w:noWrap/>
            <w:vAlign w:val="bottom"/>
            <w:hideMark/>
          </w:tcPr>
          <w:p w14:paraId="07067709" w14:textId="77777777" w:rsidR="00867849" w:rsidRPr="00867849" w:rsidRDefault="00867849" w:rsidP="00867849">
            <w:pPr>
              <w:spacing w:after="0" w:line="240" w:lineRule="auto"/>
              <w:jc w:val="center"/>
              <w:rPr>
                <w:rFonts w:ascii="Calibri" w:eastAsia="Times New Roman" w:hAnsi="Calibri" w:cs="Calibri"/>
                <w:b/>
                <w:bCs/>
                <w:color w:val="000000"/>
                <w:sz w:val="20"/>
                <w:szCs w:val="20"/>
              </w:rPr>
            </w:pPr>
            <w:r w:rsidRPr="00867849">
              <w:rPr>
                <w:rFonts w:ascii="Calibri" w:eastAsia="Times New Roman" w:hAnsi="Calibri" w:cs="Calibri"/>
                <w:b/>
                <w:bCs/>
                <w:color w:val="000000"/>
                <w:sz w:val="20"/>
                <w:szCs w:val="20"/>
              </w:rPr>
              <w:t> </w:t>
            </w:r>
          </w:p>
        </w:tc>
        <w:tc>
          <w:tcPr>
            <w:tcW w:w="2700" w:type="dxa"/>
            <w:tcBorders>
              <w:top w:val="nil"/>
              <w:left w:val="nil"/>
              <w:bottom w:val="single" w:sz="4" w:space="0" w:color="auto"/>
              <w:right w:val="single" w:sz="4" w:space="0" w:color="auto"/>
            </w:tcBorders>
            <w:shd w:val="clear" w:color="auto" w:fill="auto"/>
            <w:vAlign w:val="bottom"/>
            <w:hideMark/>
          </w:tcPr>
          <w:p w14:paraId="1E1149D8"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Dlein Street Lights</w:t>
            </w:r>
          </w:p>
        </w:tc>
        <w:tc>
          <w:tcPr>
            <w:tcW w:w="2970" w:type="dxa"/>
            <w:tcBorders>
              <w:top w:val="nil"/>
              <w:left w:val="nil"/>
              <w:bottom w:val="single" w:sz="4" w:space="0" w:color="auto"/>
              <w:right w:val="single" w:sz="8" w:space="0" w:color="auto"/>
            </w:tcBorders>
            <w:shd w:val="clear" w:color="auto" w:fill="auto"/>
            <w:noWrap/>
            <w:vAlign w:val="bottom"/>
            <w:hideMark/>
          </w:tcPr>
          <w:p w14:paraId="184AB871"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1,049.78 </w:t>
            </w:r>
          </w:p>
        </w:tc>
      </w:tr>
      <w:tr w:rsidR="00867849" w:rsidRPr="00867849" w14:paraId="52B5EAEB" w14:textId="77777777" w:rsidTr="00867849">
        <w:trPr>
          <w:trHeight w:val="300"/>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5F56A002"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Public Transport Tax</w:t>
            </w:r>
          </w:p>
        </w:tc>
        <w:tc>
          <w:tcPr>
            <w:tcW w:w="1530" w:type="dxa"/>
            <w:tcBorders>
              <w:top w:val="nil"/>
              <w:left w:val="nil"/>
              <w:bottom w:val="single" w:sz="4" w:space="0" w:color="auto"/>
              <w:right w:val="single" w:sz="4" w:space="0" w:color="auto"/>
            </w:tcBorders>
            <w:shd w:val="clear" w:color="auto" w:fill="auto"/>
            <w:noWrap/>
            <w:vAlign w:val="bottom"/>
            <w:hideMark/>
          </w:tcPr>
          <w:p w14:paraId="194548F7"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 </w:t>
            </w:r>
          </w:p>
        </w:tc>
        <w:tc>
          <w:tcPr>
            <w:tcW w:w="2700" w:type="dxa"/>
            <w:tcBorders>
              <w:top w:val="nil"/>
              <w:left w:val="nil"/>
              <w:bottom w:val="single" w:sz="4" w:space="0" w:color="auto"/>
              <w:right w:val="single" w:sz="4" w:space="0" w:color="auto"/>
            </w:tcBorders>
            <w:shd w:val="clear" w:color="auto" w:fill="auto"/>
            <w:noWrap/>
            <w:vAlign w:val="bottom"/>
            <w:hideMark/>
          </w:tcPr>
          <w:p w14:paraId="120CF636"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Ordinance 645</w:t>
            </w:r>
          </w:p>
        </w:tc>
        <w:tc>
          <w:tcPr>
            <w:tcW w:w="2970" w:type="dxa"/>
            <w:tcBorders>
              <w:top w:val="nil"/>
              <w:left w:val="nil"/>
              <w:bottom w:val="single" w:sz="4" w:space="0" w:color="auto"/>
              <w:right w:val="single" w:sz="8" w:space="0" w:color="auto"/>
            </w:tcBorders>
            <w:shd w:val="clear" w:color="auto" w:fill="auto"/>
            <w:noWrap/>
            <w:vAlign w:val="bottom"/>
            <w:hideMark/>
          </w:tcPr>
          <w:p w14:paraId="164E3E3A"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97,134.69 </w:t>
            </w:r>
          </w:p>
        </w:tc>
      </w:tr>
      <w:tr w:rsidR="00867849" w:rsidRPr="00867849" w14:paraId="692F1704" w14:textId="77777777" w:rsidTr="00867849">
        <w:trPr>
          <w:trHeight w:val="510"/>
        </w:trPr>
        <w:tc>
          <w:tcPr>
            <w:tcW w:w="2150" w:type="dxa"/>
            <w:tcBorders>
              <w:top w:val="nil"/>
              <w:left w:val="single" w:sz="8" w:space="0" w:color="auto"/>
              <w:bottom w:val="single" w:sz="4" w:space="0" w:color="auto"/>
              <w:right w:val="single" w:sz="4" w:space="0" w:color="auto"/>
            </w:tcBorders>
            <w:shd w:val="clear" w:color="auto" w:fill="auto"/>
            <w:vAlign w:val="center"/>
            <w:hideMark/>
          </w:tcPr>
          <w:p w14:paraId="28022DE3" w14:textId="77777777" w:rsidR="00867849" w:rsidRPr="00867849" w:rsidRDefault="00867849" w:rsidP="00867849">
            <w:pPr>
              <w:spacing w:after="0" w:line="240" w:lineRule="auto"/>
              <w:rPr>
                <w:rFonts w:ascii="Calibri" w:eastAsia="Times New Roman" w:hAnsi="Calibri" w:cs="Calibri"/>
                <w:color w:val="000000"/>
                <w:sz w:val="20"/>
                <w:szCs w:val="20"/>
              </w:rPr>
            </w:pPr>
            <w:proofErr w:type="spellStart"/>
            <w:r w:rsidRPr="00867849">
              <w:rPr>
                <w:rFonts w:ascii="Calibri" w:eastAsia="Times New Roman" w:hAnsi="Calibri" w:cs="Calibri"/>
                <w:color w:val="000000"/>
                <w:sz w:val="20"/>
                <w:szCs w:val="20"/>
              </w:rPr>
              <w:t>Rognlin</w:t>
            </w:r>
            <w:proofErr w:type="spellEnd"/>
            <w:r w:rsidRPr="00867849">
              <w:rPr>
                <w:rFonts w:ascii="Calibri" w:eastAsia="Times New Roman" w:hAnsi="Calibri" w:cs="Calibri"/>
                <w:color w:val="000000"/>
                <w:sz w:val="20"/>
                <w:szCs w:val="20"/>
              </w:rPr>
              <w:t xml:space="preserve"> Exit 72 Impact Fee</w:t>
            </w:r>
          </w:p>
        </w:tc>
        <w:tc>
          <w:tcPr>
            <w:tcW w:w="1530" w:type="dxa"/>
            <w:tcBorders>
              <w:top w:val="nil"/>
              <w:left w:val="nil"/>
              <w:bottom w:val="single" w:sz="4" w:space="0" w:color="auto"/>
              <w:right w:val="single" w:sz="4" w:space="0" w:color="auto"/>
            </w:tcBorders>
            <w:shd w:val="clear" w:color="auto" w:fill="auto"/>
            <w:noWrap/>
            <w:vAlign w:val="bottom"/>
            <w:hideMark/>
          </w:tcPr>
          <w:p w14:paraId="76A7223F"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 </w:t>
            </w:r>
          </w:p>
        </w:tc>
        <w:tc>
          <w:tcPr>
            <w:tcW w:w="2700" w:type="dxa"/>
            <w:tcBorders>
              <w:top w:val="nil"/>
              <w:left w:val="nil"/>
              <w:bottom w:val="single" w:sz="4" w:space="0" w:color="auto"/>
              <w:right w:val="single" w:sz="4" w:space="0" w:color="auto"/>
            </w:tcBorders>
            <w:shd w:val="clear" w:color="auto" w:fill="auto"/>
            <w:vAlign w:val="bottom"/>
            <w:hideMark/>
          </w:tcPr>
          <w:p w14:paraId="04D9C15A"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Developers Agreement</w:t>
            </w:r>
          </w:p>
        </w:tc>
        <w:tc>
          <w:tcPr>
            <w:tcW w:w="2970" w:type="dxa"/>
            <w:tcBorders>
              <w:top w:val="nil"/>
              <w:left w:val="nil"/>
              <w:bottom w:val="single" w:sz="4" w:space="0" w:color="auto"/>
              <w:right w:val="single" w:sz="8" w:space="0" w:color="auto"/>
            </w:tcBorders>
            <w:shd w:val="clear" w:color="auto" w:fill="auto"/>
            <w:noWrap/>
            <w:vAlign w:val="bottom"/>
            <w:hideMark/>
          </w:tcPr>
          <w:p w14:paraId="30DB53EA"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135,390.00 </w:t>
            </w:r>
          </w:p>
        </w:tc>
      </w:tr>
      <w:tr w:rsidR="00867849" w:rsidRPr="00867849" w14:paraId="0D1BBF65" w14:textId="77777777" w:rsidTr="00867849">
        <w:trPr>
          <w:trHeight w:val="525"/>
        </w:trPr>
        <w:tc>
          <w:tcPr>
            <w:tcW w:w="2150" w:type="dxa"/>
            <w:tcBorders>
              <w:top w:val="nil"/>
              <w:left w:val="single" w:sz="8" w:space="0" w:color="auto"/>
              <w:bottom w:val="double" w:sz="6" w:space="0" w:color="auto"/>
              <w:right w:val="nil"/>
            </w:tcBorders>
            <w:shd w:val="clear" w:color="auto" w:fill="auto"/>
            <w:vAlign w:val="center"/>
            <w:hideMark/>
          </w:tcPr>
          <w:p w14:paraId="4E92DA94"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Transfer from General Fund</w:t>
            </w:r>
          </w:p>
        </w:tc>
        <w:tc>
          <w:tcPr>
            <w:tcW w:w="1530" w:type="dxa"/>
            <w:tcBorders>
              <w:top w:val="nil"/>
              <w:left w:val="single" w:sz="4" w:space="0" w:color="auto"/>
              <w:bottom w:val="double" w:sz="6" w:space="0" w:color="auto"/>
              <w:right w:val="single" w:sz="4" w:space="0" w:color="auto"/>
            </w:tcBorders>
            <w:shd w:val="clear" w:color="auto" w:fill="auto"/>
            <w:noWrap/>
            <w:vAlign w:val="bottom"/>
            <w:hideMark/>
          </w:tcPr>
          <w:p w14:paraId="72D84FB5"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 </w:t>
            </w:r>
          </w:p>
        </w:tc>
        <w:tc>
          <w:tcPr>
            <w:tcW w:w="2700" w:type="dxa"/>
            <w:tcBorders>
              <w:top w:val="nil"/>
              <w:left w:val="nil"/>
              <w:bottom w:val="double" w:sz="6" w:space="0" w:color="auto"/>
              <w:right w:val="single" w:sz="4" w:space="0" w:color="auto"/>
            </w:tcBorders>
            <w:shd w:val="clear" w:color="auto" w:fill="auto"/>
            <w:vAlign w:val="bottom"/>
            <w:hideMark/>
          </w:tcPr>
          <w:p w14:paraId="6F76BAD4"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 </w:t>
            </w:r>
          </w:p>
        </w:tc>
        <w:tc>
          <w:tcPr>
            <w:tcW w:w="2970" w:type="dxa"/>
            <w:tcBorders>
              <w:top w:val="nil"/>
              <w:left w:val="nil"/>
              <w:bottom w:val="double" w:sz="6" w:space="0" w:color="auto"/>
              <w:right w:val="single" w:sz="8" w:space="0" w:color="auto"/>
            </w:tcBorders>
            <w:shd w:val="clear" w:color="auto" w:fill="auto"/>
            <w:noWrap/>
            <w:vAlign w:val="bottom"/>
            <w:hideMark/>
          </w:tcPr>
          <w:p w14:paraId="38EA3C65"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40,000.00 </w:t>
            </w:r>
          </w:p>
        </w:tc>
      </w:tr>
      <w:tr w:rsidR="00867849" w:rsidRPr="00867849" w14:paraId="29530238" w14:textId="77777777" w:rsidTr="00867849">
        <w:trPr>
          <w:trHeight w:val="330"/>
        </w:trPr>
        <w:tc>
          <w:tcPr>
            <w:tcW w:w="2150" w:type="dxa"/>
            <w:tcBorders>
              <w:top w:val="nil"/>
              <w:left w:val="single" w:sz="8" w:space="0" w:color="auto"/>
              <w:bottom w:val="nil"/>
              <w:right w:val="nil"/>
            </w:tcBorders>
            <w:shd w:val="clear" w:color="auto" w:fill="auto"/>
            <w:noWrap/>
            <w:vAlign w:val="bottom"/>
            <w:hideMark/>
          </w:tcPr>
          <w:p w14:paraId="7C8A2ADA"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w:t>
            </w:r>
          </w:p>
        </w:tc>
        <w:tc>
          <w:tcPr>
            <w:tcW w:w="1530" w:type="dxa"/>
            <w:tcBorders>
              <w:top w:val="nil"/>
              <w:left w:val="nil"/>
              <w:bottom w:val="nil"/>
              <w:right w:val="nil"/>
            </w:tcBorders>
            <w:shd w:val="clear" w:color="auto" w:fill="auto"/>
            <w:noWrap/>
            <w:vAlign w:val="bottom"/>
            <w:hideMark/>
          </w:tcPr>
          <w:p w14:paraId="5B9AF0FE" w14:textId="77777777" w:rsidR="00867849" w:rsidRPr="00867849" w:rsidRDefault="00867849" w:rsidP="00867849">
            <w:pPr>
              <w:spacing w:after="0" w:line="240" w:lineRule="auto"/>
              <w:rPr>
                <w:rFonts w:ascii="Calibri" w:eastAsia="Times New Roman" w:hAnsi="Calibri" w:cs="Calibri"/>
                <w:color w:val="000000"/>
              </w:rPr>
            </w:pPr>
          </w:p>
        </w:tc>
        <w:tc>
          <w:tcPr>
            <w:tcW w:w="2700" w:type="dxa"/>
            <w:tcBorders>
              <w:top w:val="nil"/>
              <w:left w:val="single" w:sz="4" w:space="0" w:color="auto"/>
              <w:bottom w:val="single" w:sz="8" w:space="0" w:color="auto"/>
              <w:right w:val="single" w:sz="4" w:space="0" w:color="auto"/>
            </w:tcBorders>
            <w:shd w:val="clear" w:color="auto" w:fill="auto"/>
            <w:vAlign w:val="bottom"/>
            <w:hideMark/>
          </w:tcPr>
          <w:p w14:paraId="621C2D98" w14:textId="77777777" w:rsidR="00867849" w:rsidRPr="00867849" w:rsidRDefault="00867849" w:rsidP="00867849">
            <w:pPr>
              <w:spacing w:after="0" w:line="240" w:lineRule="auto"/>
              <w:rPr>
                <w:rFonts w:ascii="Calibri" w:eastAsia="Times New Roman" w:hAnsi="Calibri" w:cs="Calibri"/>
                <w:b/>
                <w:bCs/>
                <w:color w:val="000000"/>
                <w:sz w:val="18"/>
                <w:szCs w:val="18"/>
              </w:rPr>
            </w:pPr>
            <w:r w:rsidRPr="00867849">
              <w:rPr>
                <w:rFonts w:ascii="Calibri" w:eastAsia="Times New Roman" w:hAnsi="Calibri" w:cs="Calibri"/>
                <w:b/>
                <w:bCs/>
                <w:color w:val="000000"/>
                <w:sz w:val="18"/>
                <w:szCs w:val="18"/>
              </w:rPr>
              <w:t>Total Restricted Funds</w:t>
            </w:r>
          </w:p>
        </w:tc>
        <w:tc>
          <w:tcPr>
            <w:tcW w:w="2970" w:type="dxa"/>
            <w:tcBorders>
              <w:top w:val="nil"/>
              <w:left w:val="nil"/>
              <w:bottom w:val="single" w:sz="4" w:space="0" w:color="auto"/>
              <w:right w:val="single" w:sz="8" w:space="0" w:color="auto"/>
            </w:tcBorders>
            <w:shd w:val="clear" w:color="auto" w:fill="auto"/>
            <w:noWrap/>
            <w:vAlign w:val="bottom"/>
            <w:hideMark/>
          </w:tcPr>
          <w:p w14:paraId="6E0DFA94"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481,549.69 </w:t>
            </w:r>
          </w:p>
        </w:tc>
      </w:tr>
      <w:tr w:rsidR="00867849" w:rsidRPr="00867849" w14:paraId="4D44E72F" w14:textId="77777777" w:rsidTr="00867849">
        <w:trPr>
          <w:trHeight w:val="300"/>
        </w:trPr>
        <w:tc>
          <w:tcPr>
            <w:tcW w:w="9350"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7088DAF5" w14:textId="77777777" w:rsidR="00867849" w:rsidRPr="00867849" w:rsidRDefault="00867849" w:rsidP="00867849">
            <w:pPr>
              <w:spacing w:after="0" w:line="240" w:lineRule="auto"/>
              <w:jc w:val="center"/>
              <w:rPr>
                <w:rFonts w:ascii="Cambria" w:eastAsia="Times New Roman" w:hAnsi="Cambria" w:cs="Calibri"/>
                <w:b/>
                <w:bCs/>
                <w:color w:val="000000"/>
                <w:sz w:val="20"/>
                <w:szCs w:val="20"/>
              </w:rPr>
            </w:pPr>
            <w:r w:rsidRPr="00867849">
              <w:rPr>
                <w:rFonts w:ascii="Cambria" w:eastAsia="Times New Roman" w:hAnsi="Cambria" w:cs="Calibri"/>
                <w:b/>
                <w:bCs/>
                <w:color w:val="000000"/>
                <w:sz w:val="20"/>
                <w:szCs w:val="20"/>
              </w:rPr>
              <w:t>Criminal Justice Fund</w:t>
            </w:r>
          </w:p>
        </w:tc>
      </w:tr>
      <w:tr w:rsidR="00867849" w:rsidRPr="00867849" w14:paraId="55A7B899" w14:textId="77777777" w:rsidTr="00867849">
        <w:trPr>
          <w:trHeight w:val="300"/>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6765CB6A"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Resource</w:t>
            </w:r>
          </w:p>
        </w:tc>
        <w:tc>
          <w:tcPr>
            <w:tcW w:w="1530" w:type="dxa"/>
            <w:tcBorders>
              <w:top w:val="nil"/>
              <w:left w:val="nil"/>
              <w:bottom w:val="single" w:sz="4" w:space="0" w:color="auto"/>
              <w:right w:val="single" w:sz="4" w:space="0" w:color="auto"/>
            </w:tcBorders>
            <w:shd w:val="clear" w:color="auto" w:fill="auto"/>
            <w:noWrap/>
            <w:vAlign w:val="bottom"/>
            <w:hideMark/>
          </w:tcPr>
          <w:p w14:paraId="47399D70"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RCW</w:t>
            </w:r>
          </w:p>
        </w:tc>
        <w:tc>
          <w:tcPr>
            <w:tcW w:w="2700" w:type="dxa"/>
            <w:tcBorders>
              <w:top w:val="nil"/>
              <w:left w:val="nil"/>
              <w:bottom w:val="single" w:sz="4" w:space="0" w:color="auto"/>
              <w:right w:val="single" w:sz="4" w:space="0" w:color="auto"/>
            </w:tcBorders>
            <w:shd w:val="clear" w:color="auto" w:fill="auto"/>
            <w:vAlign w:val="bottom"/>
            <w:hideMark/>
          </w:tcPr>
          <w:p w14:paraId="0859BC2A" w14:textId="77777777" w:rsidR="00867849" w:rsidRPr="00867849" w:rsidRDefault="00867849" w:rsidP="00867849">
            <w:pPr>
              <w:spacing w:after="0" w:line="240" w:lineRule="auto"/>
              <w:jc w:val="center"/>
              <w:rPr>
                <w:rFonts w:ascii="Calibri" w:eastAsia="Times New Roman" w:hAnsi="Calibri" w:cs="Calibri"/>
                <w:color w:val="000000"/>
                <w:sz w:val="18"/>
                <w:szCs w:val="18"/>
              </w:rPr>
            </w:pPr>
            <w:r w:rsidRPr="00867849">
              <w:rPr>
                <w:rFonts w:ascii="Calibri" w:eastAsia="Times New Roman" w:hAnsi="Calibri" w:cs="Calibri"/>
                <w:color w:val="000000"/>
                <w:sz w:val="18"/>
                <w:szCs w:val="18"/>
              </w:rPr>
              <w:t>Use</w:t>
            </w:r>
          </w:p>
        </w:tc>
        <w:tc>
          <w:tcPr>
            <w:tcW w:w="2970" w:type="dxa"/>
            <w:tcBorders>
              <w:top w:val="nil"/>
              <w:left w:val="nil"/>
              <w:bottom w:val="single" w:sz="4" w:space="0" w:color="auto"/>
              <w:right w:val="single" w:sz="8" w:space="0" w:color="auto"/>
            </w:tcBorders>
            <w:shd w:val="clear" w:color="auto" w:fill="auto"/>
            <w:noWrap/>
            <w:vAlign w:val="bottom"/>
            <w:hideMark/>
          </w:tcPr>
          <w:p w14:paraId="75944F00"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 xml:space="preserve"> End Balance </w:t>
            </w:r>
          </w:p>
        </w:tc>
      </w:tr>
      <w:tr w:rsidR="00867849" w:rsidRPr="00867849" w14:paraId="35F2B4C7" w14:textId="77777777" w:rsidTr="00867849">
        <w:trPr>
          <w:trHeight w:val="735"/>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1E619A54"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Criminal Justice Lo-Pop</w:t>
            </w:r>
          </w:p>
        </w:tc>
        <w:tc>
          <w:tcPr>
            <w:tcW w:w="1530" w:type="dxa"/>
            <w:tcBorders>
              <w:top w:val="nil"/>
              <w:left w:val="nil"/>
              <w:bottom w:val="single" w:sz="4" w:space="0" w:color="auto"/>
              <w:right w:val="single" w:sz="4" w:space="0" w:color="auto"/>
            </w:tcBorders>
            <w:shd w:val="clear" w:color="auto" w:fill="auto"/>
            <w:noWrap/>
            <w:vAlign w:val="bottom"/>
            <w:hideMark/>
          </w:tcPr>
          <w:p w14:paraId="216A4CB4" w14:textId="77777777" w:rsidR="00867849" w:rsidRPr="00867849" w:rsidRDefault="00867849" w:rsidP="00867849">
            <w:pPr>
              <w:spacing w:after="0" w:line="240" w:lineRule="auto"/>
              <w:jc w:val="center"/>
              <w:rPr>
                <w:rFonts w:ascii="Calibri" w:eastAsia="Times New Roman" w:hAnsi="Calibri" w:cs="Calibri"/>
                <w:b/>
                <w:bCs/>
                <w:color w:val="000000"/>
                <w:sz w:val="20"/>
                <w:szCs w:val="20"/>
              </w:rPr>
            </w:pPr>
            <w:r w:rsidRPr="00867849">
              <w:rPr>
                <w:rFonts w:ascii="Calibri" w:eastAsia="Times New Roman" w:hAnsi="Calibri" w:cs="Calibri"/>
                <w:b/>
                <w:bCs/>
                <w:color w:val="000000"/>
                <w:sz w:val="20"/>
                <w:szCs w:val="20"/>
              </w:rPr>
              <w:t>82.14.330</w:t>
            </w:r>
          </w:p>
        </w:tc>
        <w:tc>
          <w:tcPr>
            <w:tcW w:w="2700" w:type="dxa"/>
            <w:tcBorders>
              <w:top w:val="nil"/>
              <w:left w:val="nil"/>
              <w:bottom w:val="single" w:sz="4" w:space="0" w:color="auto"/>
              <w:right w:val="single" w:sz="4" w:space="0" w:color="auto"/>
            </w:tcBorders>
            <w:shd w:val="clear" w:color="auto" w:fill="auto"/>
            <w:vAlign w:val="bottom"/>
            <w:hideMark/>
          </w:tcPr>
          <w:p w14:paraId="060D541C"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Criminal Justice purpose non-recurring (Purchase police cars)</w:t>
            </w:r>
          </w:p>
        </w:tc>
        <w:tc>
          <w:tcPr>
            <w:tcW w:w="2970" w:type="dxa"/>
            <w:tcBorders>
              <w:top w:val="nil"/>
              <w:left w:val="nil"/>
              <w:bottom w:val="single" w:sz="4" w:space="0" w:color="auto"/>
              <w:right w:val="single" w:sz="8" w:space="0" w:color="auto"/>
            </w:tcBorders>
            <w:shd w:val="clear" w:color="auto" w:fill="auto"/>
            <w:noWrap/>
            <w:vAlign w:val="bottom"/>
            <w:hideMark/>
          </w:tcPr>
          <w:p w14:paraId="48606AEC"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2,878.92 </w:t>
            </w:r>
          </w:p>
        </w:tc>
      </w:tr>
      <w:tr w:rsidR="00867849" w:rsidRPr="00867849" w14:paraId="6AB2FC14" w14:textId="77777777" w:rsidTr="00867849">
        <w:trPr>
          <w:trHeight w:val="975"/>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3B0E165A"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CJ-Special Programs</w:t>
            </w:r>
          </w:p>
        </w:tc>
        <w:tc>
          <w:tcPr>
            <w:tcW w:w="1530" w:type="dxa"/>
            <w:tcBorders>
              <w:top w:val="nil"/>
              <w:left w:val="nil"/>
              <w:bottom w:val="single" w:sz="4" w:space="0" w:color="auto"/>
              <w:right w:val="single" w:sz="4" w:space="0" w:color="auto"/>
            </w:tcBorders>
            <w:shd w:val="clear" w:color="auto" w:fill="auto"/>
            <w:vAlign w:val="bottom"/>
            <w:hideMark/>
          </w:tcPr>
          <w:p w14:paraId="267C4F4B" w14:textId="77777777" w:rsidR="00867849" w:rsidRPr="00867849" w:rsidRDefault="00867849" w:rsidP="00867849">
            <w:pPr>
              <w:spacing w:after="0" w:line="240" w:lineRule="auto"/>
              <w:jc w:val="center"/>
              <w:rPr>
                <w:rFonts w:ascii="Calibri" w:eastAsia="Times New Roman" w:hAnsi="Calibri" w:cs="Calibri"/>
                <w:b/>
                <w:bCs/>
                <w:color w:val="000000"/>
                <w:sz w:val="20"/>
                <w:szCs w:val="20"/>
              </w:rPr>
            </w:pPr>
            <w:r w:rsidRPr="00867849">
              <w:rPr>
                <w:rFonts w:ascii="Calibri" w:eastAsia="Times New Roman" w:hAnsi="Calibri" w:cs="Calibri"/>
                <w:b/>
                <w:bCs/>
                <w:color w:val="000000"/>
                <w:sz w:val="20"/>
                <w:szCs w:val="20"/>
              </w:rPr>
              <w:t>82.14.330 (2)(b)</w:t>
            </w:r>
          </w:p>
        </w:tc>
        <w:tc>
          <w:tcPr>
            <w:tcW w:w="2700" w:type="dxa"/>
            <w:tcBorders>
              <w:top w:val="nil"/>
              <w:left w:val="nil"/>
              <w:bottom w:val="single" w:sz="4" w:space="0" w:color="auto"/>
              <w:right w:val="single" w:sz="4" w:space="0" w:color="auto"/>
            </w:tcBorders>
            <w:shd w:val="clear" w:color="auto" w:fill="auto"/>
            <w:vAlign w:val="bottom"/>
            <w:hideMark/>
          </w:tcPr>
          <w:p w14:paraId="09FAA67F"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Innovative Law Strategies, At-Risk Children, Child Abuse, Domestic Violence</w:t>
            </w:r>
          </w:p>
        </w:tc>
        <w:tc>
          <w:tcPr>
            <w:tcW w:w="2970" w:type="dxa"/>
            <w:tcBorders>
              <w:top w:val="nil"/>
              <w:left w:val="nil"/>
              <w:bottom w:val="single" w:sz="4" w:space="0" w:color="auto"/>
              <w:right w:val="single" w:sz="8" w:space="0" w:color="auto"/>
            </w:tcBorders>
            <w:shd w:val="clear" w:color="auto" w:fill="auto"/>
            <w:noWrap/>
            <w:vAlign w:val="bottom"/>
            <w:hideMark/>
          </w:tcPr>
          <w:p w14:paraId="6FD21D17"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2,331.42 </w:t>
            </w:r>
          </w:p>
        </w:tc>
      </w:tr>
      <w:tr w:rsidR="00867849" w:rsidRPr="00867849" w14:paraId="44983341" w14:textId="77777777" w:rsidTr="00867849">
        <w:trPr>
          <w:trHeight w:val="300"/>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6F7D8DDD"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 xml:space="preserve">DUI </w:t>
            </w:r>
            <w:proofErr w:type="gramStart"/>
            <w:r w:rsidRPr="00867849">
              <w:rPr>
                <w:rFonts w:ascii="Calibri" w:eastAsia="Times New Roman" w:hAnsi="Calibri" w:cs="Calibri"/>
                <w:color w:val="000000"/>
                <w:sz w:val="20"/>
                <w:szCs w:val="20"/>
              </w:rPr>
              <w:t>-  Cities</w:t>
            </w:r>
            <w:proofErr w:type="gramEnd"/>
          </w:p>
        </w:tc>
        <w:tc>
          <w:tcPr>
            <w:tcW w:w="1530" w:type="dxa"/>
            <w:tcBorders>
              <w:top w:val="nil"/>
              <w:left w:val="nil"/>
              <w:bottom w:val="single" w:sz="4" w:space="0" w:color="auto"/>
              <w:right w:val="single" w:sz="4" w:space="0" w:color="auto"/>
            </w:tcBorders>
            <w:shd w:val="clear" w:color="auto" w:fill="auto"/>
            <w:noWrap/>
            <w:vAlign w:val="bottom"/>
            <w:hideMark/>
          </w:tcPr>
          <w:p w14:paraId="3EB84821" w14:textId="77777777" w:rsidR="00867849" w:rsidRPr="00867849" w:rsidRDefault="00867849" w:rsidP="00867849">
            <w:pPr>
              <w:spacing w:after="0" w:line="240" w:lineRule="auto"/>
              <w:jc w:val="center"/>
              <w:rPr>
                <w:rFonts w:ascii="Calibri" w:eastAsia="Times New Roman" w:hAnsi="Calibri" w:cs="Calibri"/>
                <w:b/>
                <w:bCs/>
                <w:color w:val="000000"/>
                <w:sz w:val="20"/>
                <w:szCs w:val="20"/>
              </w:rPr>
            </w:pPr>
            <w:r w:rsidRPr="00867849">
              <w:rPr>
                <w:rFonts w:ascii="Calibri" w:eastAsia="Times New Roman" w:hAnsi="Calibri" w:cs="Calibri"/>
                <w:b/>
                <w:bCs/>
                <w:color w:val="000000"/>
                <w:sz w:val="20"/>
                <w:szCs w:val="20"/>
              </w:rPr>
              <w:t> </w:t>
            </w:r>
          </w:p>
        </w:tc>
        <w:tc>
          <w:tcPr>
            <w:tcW w:w="2700" w:type="dxa"/>
            <w:tcBorders>
              <w:top w:val="nil"/>
              <w:left w:val="nil"/>
              <w:bottom w:val="single" w:sz="4" w:space="0" w:color="auto"/>
              <w:right w:val="single" w:sz="4" w:space="0" w:color="auto"/>
            </w:tcBorders>
            <w:shd w:val="clear" w:color="auto" w:fill="auto"/>
            <w:vAlign w:val="bottom"/>
            <w:hideMark/>
          </w:tcPr>
          <w:p w14:paraId="3EB3E2BE"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DUI OT Enforcement</w:t>
            </w:r>
          </w:p>
        </w:tc>
        <w:tc>
          <w:tcPr>
            <w:tcW w:w="2970" w:type="dxa"/>
            <w:tcBorders>
              <w:top w:val="nil"/>
              <w:left w:val="nil"/>
              <w:bottom w:val="single" w:sz="4" w:space="0" w:color="auto"/>
              <w:right w:val="single" w:sz="8" w:space="0" w:color="auto"/>
            </w:tcBorders>
            <w:shd w:val="clear" w:color="auto" w:fill="auto"/>
            <w:noWrap/>
            <w:vAlign w:val="bottom"/>
            <w:hideMark/>
          </w:tcPr>
          <w:p w14:paraId="160E7B2D"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1,328.97 </w:t>
            </w:r>
          </w:p>
        </w:tc>
      </w:tr>
      <w:tr w:rsidR="00867849" w:rsidRPr="00867849" w14:paraId="0AFB9755" w14:textId="77777777" w:rsidTr="00867849">
        <w:trPr>
          <w:trHeight w:val="510"/>
        </w:trPr>
        <w:tc>
          <w:tcPr>
            <w:tcW w:w="2150" w:type="dxa"/>
            <w:tcBorders>
              <w:top w:val="nil"/>
              <w:left w:val="single" w:sz="8" w:space="0" w:color="auto"/>
              <w:bottom w:val="double" w:sz="6" w:space="0" w:color="auto"/>
              <w:right w:val="single" w:sz="4" w:space="0" w:color="auto"/>
            </w:tcBorders>
            <w:shd w:val="clear" w:color="auto" w:fill="auto"/>
            <w:vAlign w:val="bottom"/>
            <w:hideMark/>
          </w:tcPr>
          <w:p w14:paraId="1DF33083"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CJ - Sales Tax</w:t>
            </w:r>
          </w:p>
        </w:tc>
        <w:tc>
          <w:tcPr>
            <w:tcW w:w="1530" w:type="dxa"/>
            <w:tcBorders>
              <w:top w:val="nil"/>
              <w:left w:val="nil"/>
              <w:bottom w:val="double" w:sz="6" w:space="0" w:color="auto"/>
              <w:right w:val="single" w:sz="4" w:space="0" w:color="auto"/>
            </w:tcBorders>
            <w:shd w:val="clear" w:color="auto" w:fill="auto"/>
            <w:noWrap/>
            <w:vAlign w:val="bottom"/>
            <w:hideMark/>
          </w:tcPr>
          <w:p w14:paraId="1598DAA6" w14:textId="77777777" w:rsidR="00867849" w:rsidRPr="00867849" w:rsidRDefault="00867849" w:rsidP="00867849">
            <w:pPr>
              <w:spacing w:after="0" w:line="240" w:lineRule="auto"/>
              <w:jc w:val="center"/>
              <w:rPr>
                <w:rFonts w:ascii="Calibri" w:eastAsia="Times New Roman" w:hAnsi="Calibri" w:cs="Calibri"/>
                <w:b/>
                <w:bCs/>
                <w:color w:val="000000"/>
                <w:sz w:val="20"/>
                <w:szCs w:val="20"/>
              </w:rPr>
            </w:pPr>
            <w:r w:rsidRPr="00867849">
              <w:rPr>
                <w:rFonts w:ascii="Calibri" w:eastAsia="Times New Roman" w:hAnsi="Calibri" w:cs="Calibri"/>
                <w:b/>
                <w:bCs/>
                <w:color w:val="000000"/>
                <w:sz w:val="20"/>
                <w:szCs w:val="20"/>
              </w:rPr>
              <w:t>82.14.340</w:t>
            </w:r>
          </w:p>
        </w:tc>
        <w:tc>
          <w:tcPr>
            <w:tcW w:w="2700" w:type="dxa"/>
            <w:tcBorders>
              <w:top w:val="nil"/>
              <w:left w:val="nil"/>
              <w:bottom w:val="double" w:sz="6" w:space="0" w:color="auto"/>
              <w:right w:val="single" w:sz="4" w:space="0" w:color="auto"/>
            </w:tcBorders>
            <w:shd w:val="clear" w:color="auto" w:fill="auto"/>
            <w:vAlign w:val="bottom"/>
            <w:hideMark/>
          </w:tcPr>
          <w:p w14:paraId="2408C99B"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Criminal Justice Purposes</w:t>
            </w:r>
          </w:p>
        </w:tc>
        <w:tc>
          <w:tcPr>
            <w:tcW w:w="2970" w:type="dxa"/>
            <w:tcBorders>
              <w:top w:val="nil"/>
              <w:left w:val="nil"/>
              <w:bottom w:val="double" w:sz="6" w:space="0" w:color="auto"/>
              <w:right w:val="single" w:sz="8" w:space="0" w:color="auto"/>
            </w:tcBorders>
            <w:shd w:val="clear" w:color="auto" w:fill="auto"/>
            <w:noWrap/>
            <w:vAlign w:val="bottom"/>
            <w:hideMark/>
          </w:tcPr>
          <w:p w14:paraId="002AF4BD"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56,840.08 </w:t>
            </w:r>
          </w:p>
        </w:tc>
      </w:tr>
      <w:tr w:rsidR="00867849" w:rsidRPr="00867849" w14:paraId="3FD59ADE" w14:textId="77777777" w:rsidTr="00867849">
        <w:trPr>
          <w:trHeight w:val="330"/>
        </w:trPr>
        <w:tc>
          <w:tcPr>
            <w:tcW w:w="2150" w:type="dxa"/>
            <w:tcBorders>
              <w:top w:val="nil"/>
              <w:left w:val="single" w:sz="8" w:space="0" w:color="auto"/>
              <w:bottom w:val="single" w:sz="8" w:space="0" w:color="auto"/>
              <w:right w:val="nil"/>
            </w:tcBorders>
            <w:shd w:val="clear" w:color="auto" w:fill="auto"/>
            <w:noWrap/>
            <w:vAlign w:val="bottom"/>
            <w:hideMark/>
          </w:tcPr>
          <w:p w14:paraId="70E952D9"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w:t>
            </w:r>
          </w:p>
        </w:tc>
        <w:tc>
          <w:tcPr>
            <w:tcW w:w="1530" w:type="dxa"/>
            <w:tcBorders>
              <w:top w:val="nil"/>
              <w:left w:val="nil"/>
              <w:bottom w:val="single" w:sz="8" w:space="0" w:color="auto"/>
              <w:right w:val="nil"/>
            </w:tcBorders>
            <w:shd w:val="clear" w:color="auto" w:fill="auto"/>
            <w:noWrap/>
            <w:vAlign w:val="bottom"/>
            <w:hideMark/>
          </w:tcPr>
          <w:p w14:paraId="421C352D"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w:t>
            </w:r>
          </w:p>
        </w:tc>
        <w:tc>
          <w:tcPr>
            <w:tcW w:w="2700" w:type="dxa"/>
            <w:tcBorders>
              <w:top w:val="nil"/>
              <w:left w:val="single" w:sz="4" w:space="0" w:color="auto"/>
              <w:bottom w:val="single" w:sz="8" w:space="0" w:color="auto"/>
              <w:right w:val="single" w:sz="4" w:space="0" w:color="auto"/>
            </w:tcBorders>
            <w:shd w:val="clear" w:color="auto" w:fill="auto"/>
            <w:vAlign w:val="bottom"/>
            <w:hideMark/>
          </w:tcPr>
          <w:p w14:paraId="4F30CEB2" w14:textId="77777777" w:rsidR="00867849" w:rsidRPr="00867849" w:rsidRDefault="00867849" w:rsidP="00867849">
            <w:pPr>
              <w:spacing w:after="0" w:line="240" w:lineRule="auto"/>
              <w:rPr>
                <w:rFonts w:ascii="Calibri" w:eastAsia="Times New Roman" w:hAnsi="Calibri" w:cs="Calibri"/>
                <w:b/>
                <w:bCs/>
                <w:color w:val="000000"/>
                <w:sz w:val="18"/>
                <w:szCs w:val="18"/>
              </w:rPr>
            </w:pPr>
            <w:r w:rsidRPr="00867849">
              <w:rPr>
                <w:rFonts w:ascii="Calibri" w:eastAsia="Times New Roman" w:hAnsi="Calibri" w:cs="Calibri"/>
                <w:b/>
                <w:bCs/>
                <w:color w:val="000000"/>
                <w:sz w:val="18"/>
                <w:szCs w:val="18"/>
              </w:rPr>
              <w:t>Total Restricted Funds</w:t>
            </w:r>
          </w:p>
        </w:tc>
        <w:tc>
          <w:tcPr>
            <w:tcW w:w="2970" w:type="dxa"/>
            <w:tcBorders>
              <w:top w:val="nil"/>
              <w:left w:val="nil"/>
              <w:bottom w:val="single" w:sz="8" w:space="0" w:color="auto"/>
              <w:right w:val="single" w:sz="8" w:space="0" w:color="auto"/>
            </w:tcBorders>
            <w:shd w:val="clear" w:color="auto" w:fill="auto"/>
            <w:noWrap/>
            <w:vAlign w:val="bottom"/>
            <w:hideMark/>
          </w:tcPr>
          <w:p w14:paraId="1E766A38"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63,379.39 </w:t>
            </w:r>
          </w:p>
        </w:tc>
      </w:tr>
      <w:tr w:rsidR="00867849" w:rsidRPr="00867849" w14:paraId="0CA2273B" w14:textId="77777777" w:rsidTr="00867849">
        <w:trPr>
          <w:trHeight w:val="300"/>
        </w:trPr>
        <w:tc>
          <w:tcPr>
            <w:tcW w:w="9350"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00A31D28" w14:textId="4F34ACC3" w:rsidR="00867849" w:rsidRPr="00867849" w:rsidRDefault="00867849" w:rsidP="00867849">
            <w:pPr>
              <w:spacing w:after="0" w:line="240" w:lineRule="auto"/>
              <w:jc w:val="center"/>
              <w:rPr>
                <w:rFonts w:ascii="Cambria" w:eastAsia="Times New Roman" w:hAnsi="Cambria" w:cs="Calibri"/>
                <w:b/>
                <w:bCs/>
                <w:color w:val="000000"/>
                <w:sz w:val="20"/>
                <w:szCs w:val="20"/>
              </w:rPr>
            </w:pPr>
            <w:r w:rsidRPr="00867849">
              <w:rPr>
                <w:rFonts w:ascii="Cambria" w:eastAsia="Times New Roman" w:hAnsi="Cambria" w:cs="Calibri"/>
                <w:b/>
                <w:bCs/>
                <w:color w:val="000000"/>
                <w:sz w:val="20"/>
                <w:szCs w:val="20"/>
              </w:rPr>
              <w:t xml:space="preserve">Local Fiscal </w:t>
            </w:r>
            <w:r w:rsidR="0048176B" w:rsidRPr="00867849">
              <w:rPr>
                <w:rFonts w:ascii="Cambria" w:eastAsia="Times New Roman" w:hAnsi="Cambria" w:cs="Calibri"/>
                <w:b/>
                <w:bCs/>
                <w:color w:val="000000"/>
                <w:sz w:val="20"/>
                <w:szCs w:val="20"/>
              </w:rPr>
              <w:t>Recovery</w:t>
            </w:r>
            <w:r w:rsidRPr="00867849">
              <w:rPr>
                <w:rFonts w:ascii="Cambria" w:eastAsia="Times New Roman" w:hAnsi="Cambria" w:cs="Calibri"/>
                <w:b/>
                <w:bCs/>
                <w:color w:val="000000"/>
                <w:sz w:val="20"/>
                <w:szCs w:val="20"/>
              </w:rPr>
              <w:t xml:space="preserve"> Fund</w:t>
            </w:r>
          </w:p>
        </w:tc>
      </w:tr>
      <w:tr w:rsidR="00867849" w:rsidRPr="00867849" w14:paraId="182E5AA1" w14:textId="77777777" w:rsidTr="00867849">
        <w:trPr>
          <w:trHeight w:val="300"/>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43C7AF8B"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Resource</w:t>
            </w:r>
          </w:p>
        </w:tc>
        <w:tc>
          <w:tcPr>
            <w:tcW w:w="1530" w:type="dxa"/>
            <w:tcBorders>
              <w:top w:val="nil"/>
              <w:left w:val="nil"/>
              <w:bottom w:val="single" w:sz="4" w:space="0" w:color="auto"/>
              <w:right w:val="single" w:sz="4" w:space="0" w:color="auto"/>
            </w:tcBorders>
            <w:shd w:val="clear" w:color="auto" w:fill="auto"/>
            <w:noWrap/>
            <w:vAlign w:val="bottom"/>
            <w:hideMark/>
          </w:tcPr>
          <w:p w14:paraId="5EA633CF"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RCW</w:t>
            </w:r>
          </w:p>
        </w:tc>
        <w:tc>
          <w:tcPr>
            <w:tcW w:w="2700" w:type="dxa"/>
            <w:tcBorders>
              <w:top w:val="nil"/>
              <w:left w:val="nil"/>
              <w:bottom w:val="single" w:sz="4" w:space="0" w:color="auto"/>
              <w:right w:val="single" w:sz="4" w:space="0" w:color="auto"/>
            </w:tcBorders>
            <w:shd w:val="clear" w:color="auto" w:fill="auto"/>
            <w:vAlign w:val="bottom"/>
            <w:hideMark/>
          </w:tcPr>
          <w:p w14:paraId="291E794C" w14:textId="77777777" w:rsidR="00867849" w:rsidRPr="00867849" w:rsidRDefault="00867849" w:rsidP="00867849">
            <w:pPr>
              <w:spacing w:after="0" w:line="240" w:lineRule="auto"/>
              <w:jc w:val="center"/>
              <w:rPr>
                <w:rFonts w:ascii="Calibri" w:eastAsia="Times New Roman" w:hAnsi="Calibri" w:cs="Calibri"/>
                <w:color w:val="000000"/>
                <w:sz w:val="18"/>
                <w:szCs w:val="18"/>
              </w:rPr>
            </w:pPr>
            <w:r w:rsidRPr="00867849">
              <w:rPr>
                <w:rFonts w:ascii="Calibri" w:eastAsia="Times New Roman" w:hAnsi="Calibri" w:cs="Calibri"/>
                <w:color w:val="000000"/>
                <w:sz w:val="18"/>
                <w:szCs w:val="18"/>
              </w:rPr>
              <w:t>Use</w:t>
            </w:r>
          </w:p>
        </w:tc>
        <w:tc>
          <w:tcPr>
            <w:tcW w:w="2970" w:type="dxa"/>
            <w:tcBorders>
              <w:top w:val="nil"/>
              <w:left w:val="nil"/>
              <w:bottom w:val="single" w:sz="4" w:space="0" w:color="auto"/>
              <w:right w:val="single" w:sz="8" w:space="0" w:color="auto"/>
            </w:tcBorders>
            <w:shd w:val="clear" w:color="auto" w:fill="auto"/>
            <w:noWrap/>
            <w:vAlign w:val="bottom"/>
            <w:hideMark/>
          </w:tcPr>
          <w:p w14:paraId="11201E12"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 xml:space="preserve"> End Balance </w:t>
            </w:r>
          </w:p>
        </w:tc>
      </w:tr>
      <w:tr w:rsidR="00867849" w:rsidRPr="00867849" w14:paraId="14A83B77" w14:textId="77777777" w:rsidTr="00E128D0">
        <w:trPr>
          <w:trHeight w:val="368"/>
        </w:trPr>
        <w:tc>
          <w:tcPr>
            <w:tcW w:w="2150" w:type="dxa"/>
            <w:tcBorders>
              <w:top w:val="nil"/>
              <w:left w:val="single" w:sz="8" w:space="0" w:color="auto"/>
              <w:bottom w:val="double" w:sz="6" w:space="0" w:color="auto"/>
              <w:right w:val="single" w:sz="4" w:space="0" w:color="auto"/>
            </w:tcBorders>
            <w:shd w:val="clear" w:color="auto" w:fill="auto"/>
            <w:vAlign w:val="bottom"/>
            <w:hideMark/>
          </w:tcPr>
          <w:p w14:paraId="45578DE8"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COVID-19 ARPA Federal</w:t>
            </w:r>
          </w:p>
        </w:tc>
        <w:tc>
          <w:tcPr>
            <w:tcW w:w="1530" w:type="dxa"/>
            <w:tcBorders>
              <w:top w:val="nil"/>
              <w:left w:val="nil"/>
              <w:bottom w:val="double" w:sz="6" w:space="0" w:color="auto"/>
              <w:right w:val="single" w:sz="4" w:space="0" w:color="auto"/>
            </w:tcBorders>
            <w:shd w:val="clear" w:color="auto" w:fill="auto"/>
            <w:noWrap/>
            <w:vAlign w:val="bottom"/>
            <w:hideMark/>
          </w:tcPr>
          <w:p w14:paraId="4AEBD8B2" w14:textId="77777777" w:rsidR="00867849" w:rsidRPr="00867849" w:rsidRDefault="00867849" w:rsidP="00867849">
            <w:pPr>
              <w:spacing w:after="0" w:line="240" w:lineRule="auto"/>
              <w:rPr>
                <w:rFonts w:ascii="Calibri" w:eastAsia="Times New Roman" w:hAnsi="Calibri" w:cs="Calibri"/>
              </w:rPr>
            </w:pPr>
            <w:r w:rsidRPr="00867849">
              <w:rPr>
                <w:rFonts w:ascii="Calibri" w:eastAsia="Times New Roman" w:hAnsi="Calibri" w:cs="Calibri"/>
              </w:rPr>
              <w:t> </w:t>
            </w:r>
          </w:p>
        </w:tc>
        <w:tc>
          <w:tcPr>
            <w:tcW w:w="2700" w:type="dxa"/>
            <w:tcBorders>
              <w:top w:val="nil"/>
              <w:left w:val="nil"/>
              <w:bottom w:val="double" w:sz="6" w:space="0" w:color="auto"/>
              <w:right w:val="single" w:sz="4" w:space="0" w:color="auto"/>
            </w:tcBorders>
            <w:shd w:val="clear" w:color="auto" w:fill="auto"/>
            <w:vAlign w:val="bottom"/>
            <w:hideMark/>
          </w:tcPr>
          <w:p w14:paraId="54E4EF37" w14:textId="77777777" w:rsidR="00867849" w:rsidRPr="00867849" w:rsidRDefault="00867849" w:rsidP="00867849">
            <w:pPr>
              <w:spacing w:after="0" w:line="240" w:lineRule="auto"/>
              <w:rPr>
                <w:rFonts w:ascii="Calibri" w:eastAsia="Times New Roman" w:hAnsi="Calibri" w:cs="Calibri"/>
                <w:i/>
                <w:iCs/>
                <w:color w:val="000000"/>
                <w:sz w:val="20"/>
                <w:szCs w:val="20"/>
              </w:rPr>
            </w:pPr>
            <w:r w:rsidRPr="00867849">
              <w:rPr>
                <w:rFonts w:ascii="Calibri" w:eastAsia="Times New Roman" w:hAnsi="Calibri" w:cs="Calibri"/>
                <w:i/>
                <w:iCs/>
                <w:color w:val="000000"/>
                <w:sz w:val="20"/>
                <w:szCs w:val="20"/>
              </w:rPr>
              <w:t>Covid-19 ARPA Fiscal Recovery</w:t>
            </w:r>
          </w:p>
        </w:tc>
        <w:tc>
          <w:tcPr>
            <w:tcW w:w="2970" w:type="dxa"/>
            <w:tcBorders>
              <w:top w:val="nil"/>
              <w:left w:val="nil"/>
              <w:bottom w:val="double" w:sz="6" w:space="0" w:color="auto"/>
              <w:right w:val="single" w:sz="8" w:space="0" w:color="auto"/>
            </w:tcBorders>
            <w:shd w:val="clear" w:color="auto" w:fill="auto"/>
            <w:noWrap/>
            <w:vAlign w:val="bottom"/>
            <w:hideMark/>
          </w:tcPr>
          <w:p w14:paraId="6DE9132C" w14:textId="77777777" w:rsid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w:t>
            </w:r>
            <w:r w:rsidR="00E128D0">
              <w:rPr>
                <w:rFonts w:ascii="Calibri" w:eastAsia="Times New Roman" w:hAnsi="Calibri" w:cs="Calibri"/>
                <w:color w:val="000000"/>
              </w:rPr>
              <w:t>7,236.83</w:t>
            </w:r>
          </w:p>
          <w:p w14:paraId="6DBA06EA" w14:textId="518DAD97" w:rsidR="00E128D0" w:rsidRPr="00867849" w:rsidRDefault="00E128D0" w:rsidP="00867849">
            <w:pPr>
              <w:spacing w:after="0" w:line="240" w:lineRule="auto"/>
              <w:rPr>
                <w:rFonts w:ascii="Calibri" w:eastAsia="Times New Roman" w:hAnsi="Calibri" w:cs="Calibri"/>
                <w:color w:val="000000"/>
              </w:rPr>
            </w:pPr>
          </w:p>
        </w:tc>
      </w:tr>
      <w:tr w:rsidR="00867849" w:rsidRPr="00867849" w14:paraId="1AE8C7EB" w14:textId="77777777" w:rsidTr="00867849">
        <w:trPr>
          <w:trHeight w:val="330"/>
        </w:trPr>
        <w:tc>
          <w:tcPr>
            <w:tcW w:w="2150" w:type="dxa"/>
            <w:tcBorders>
              <w:top w:val="nil"/>
              <w:left w:val="single" w:sz="8" w:space="0" w:color="auto"/>
              <w:bottom w:val="nil"/>
              <w:right w:val="nil"/>
            </w:tcBorders>
            <w:shd w:val="clear" w:color="auto" w:fill="auto"/>
            <w:vAlign w:val="bottom"/>
            <w:hideMark/>
          </w:tcPr>
          <w:p w14:paraId="14FE12D5"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 </w:t>
            </w:r>
          </w:p>
        </w:tc>
        <w:tc>
          <w:tcPr>
            <w:tcW w:w="1530" w:type="dxa"/>
            <w:tcBorders>
              <w:top w:val="nil"/>
              <w:left w:val="nil"/>
              <w:bottom w:val="nil"/>
              <w:right w:val="nil"/>
            </w:tcBorders>
            <w:shd w:val="clear" w:color="auto" w:fill="auto"/>
            <w:noWrap/>
            <w:vAlign w:val="bottom"/>
            <w:hideMark/>
          </w:tcPr>
          <w:p w14:paraId="72253D9B" w14:textId="77777777" w:rsidR="00867849" w:rsidRPr="00867849" w:rsidRDefault="00867849" w:rsidP="00867849">
            <w:pPr>
              <w:spacing w:after="0" w:line="240" w:lineRule="auto"/>
              <w:rPr>
                <w:rFonts w:ascii="Calibri" w:eastAsia="Times New Roman" w:hAnsi="Calibri" w:cs="Calibri"/>
                <w:color w:val="000000"/>
                <w:sz w:val="20"/>
                <w:szCs w:val="20"/>
              </w:rPr>
            </w:pPr>
          </w:p>
        </w:tc>
        <w:tc>
          <w:tcPr>
            <w:tcW w:w="2700" w:type="dxa"/>
            <w:tcBorders>
              <w:top w:val="nil"/>
              <w:left w:val="single" w:sz="4" w:space="0" w:color="auto"/>
              <w:bottom w:val="nil"/>
              <w:right w:val="single" w:sz="4" w:space="0" w:color="auto"/>
            </w:tcBorders>
            <w:shd w:val="clear" w:color="auto" w:fill="auto"/>
            <w:vAlign w:val="bottom"/>
            <w:hideMark/>
          </w:tcPr>
          <w:p w14:paraId="19B96769" w14:textId="77777777" w:rsidR="00867849" w:rsidRPr="00867849" w:rsidRDefault="00867849" w:rsidP="00867849">
            <w:pPr>
              <w:spacing w:after="0" w:line="240" w:lineRule="auto"/>
              <w:rPr>
                <w:rFonts w:ascii="Calibri" w:eastAsia="Times New Roman" w:hAnsi="Calibri" w:cs="Calibri"/>
                <w:b/>
                <w:bCs/>
                <w:color w:val="000000"/>
                <w:sz w:val="18"/>
                <w:szCs w:val="18"/>
              </w:rPr>
            </w:pPr>
            <w:r w:rsidRPr="00867849">
              <w:rPr>
                <w:rFonts w:ascii="Calibri" w:eastAsia="Times New Roman" w:hAnsi="Calibri" w:cs="Calibri"/>
                <w:b/>
                <w:bCs/>
                <w:color w:val="000000"/>
                <w:sz w:val="18"/>
                <w:szCs w:val="18"/>
              </w:rPr>
              <w:t>Total Restricted Funds</w:t>
            </w:r>
          </w:p>
        </w:tc>
        <w:tc>
          <w:tcPr>
            <w:tcW w:w="2970" w:type="dxa"/>
            <w:tcBorders>
              <w:top w:val="nil"/>
              <w:left w:val="nil"/>
              <w:bottom w:val="nil"/>
              <w:right w:val="single" w:sz="8" w:space="0" w:color="auto"/>
            </w:tcBorders>
            <w:shd w:val="clear" w:color="auto" w:fill="auto"/>
            <w:noWrap/>
            <w:vAlign w:val="bottom"/>
            <w:hideMark/>
          </w:tcPr>
          <w:p w14:paraId="78C0E39C" w14:textId="631F4E0D"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w:t>
            </w:r>
            <w:r w:rsidR="00E128D0">
              <w:rPr>
                <w:rFonts w:ascii="Calibri" w:eastAsia="Times New Roman" w:hAnsi="Calibri" w:cs="Calibri"/>
                <w:color w:val="000000"/>
              </w:rPr>
              <w:t>7,236.83</w:t>
            </w:r>
          </w:p>
        </w:tc>
      </w:tr>
      <w:tr w:rsidR="00867849" w:rsidRPr="00867849" w14:paraId="0D9610C8" w14:textId="77777777" w:rsidTr="00867849">
        <w:trPr>
          <w:trHeight w:val="300"/>
        </w:trPr>
        <w:tc>
          <w:tcPr>
            <w:tcW w:w="9350"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6F4A39BE" w14:textId="77777777" w:rsidR="00867849" w:rsidRPr="00867849" w:rsidRDefault="00867849" w:rsidP="00867849">
            <w:pPr>
              <w:spacing w:after="0" w:line="240" w:lineRule="auto"/>
              <w:jc w:val="center"/>
              <w:rPr>
                <w:rFonts w:ascii="Cambria" w:eastAsia="Times New Roman" w:hAnsi="Cambria" w:cs="Calibri"/>
                <w:b/>
                <w:bCs/>
                <w:color w:val="000000"/>
                <w:sz w:val="20"/>
                <w:szCs w:val="20"/>
              </w:rPr>
            </w:pPr>
            <w:r w:rsidRPr="00867849">
              <w:rPr>
                <w:rFonts w:ascii="Cambria" w:eastAsia="Times New Roman" w:hAnsi="Cambria" w:cs="Calibri"/>
                <w:b/>
                <w:bCs/>
                <w:color w:val="000000"/>
                <w:sz w:val="20"/>
                <w:szCs w:val="20"/>
              </w:rPr>
              <w:t>Project Planning</w:t>
            </w:r>
          </w:p>
        </w:tc>
      </w:tr>
      <w:tr w:rsidR="00867849" w:rsidRPr="00867849" w14:paraId="49085135" w14:textId="77777777" w:rsidTr="00867849">
        <w:trPr>
          <w:trHeight w:val="300"/>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510E8BB7"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Resource</w:t>
            </w:r>
          </w:p>
        </w:tc>
        <w:tc>
          <w:tcPr>
            <w:tcW w:w="1530" w:type="dxa"/>
            <w:tcBorders>
              <w:top w:val="nil"/>
              <w:left w:val="nil"/>
              <w:bottom w:val="single" w:sz="4" w:space="0" w:color="auto"/>
              <w:right w:val="single" w:sz="4" w:space="0" w:color="auto"/>
            </w:tcBorders>
            <w:shd w:val="clear" w:color="auto" w:fill="auto"/>
            <w:noWrap/>
            <w:vAlign w:val="bottom"/>
            <w:hideMark/>
          </w:tcPr>
          <w:p w14:paraId="3612DB20"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RCW</w:t>
            </w:r>
          </w:p>
        </w:tc>
        <w:tc>
          <w:tcPr>
            <w:tcW w:w="2700" w:type="dxa"/>
            <w:tcBorders>
              <w:top w:val="nil"/>
              <w:left w:val="nil"/>
              <w:bottom w:val="single" w:sz="4" w:space="0" w:color="auto"/>
              <w:right w:val="single" w:sz="4" w:space="0" w:color="auto"/>
            </w:tcBorders>
            <w:shd w:val="clear" w:color="auto" w:fill="auto"/>
            <w:vAlign w:val="bottom"/>
            <w:hideMark/>
          </w:tcPr>
          <w:p w14:paraId="0C6D26D5" w14:textId="77777777" w:rsidR="00867849" w:rsidRPr="00867849" w:rsidRDefault="00867849" w:rsidP="00867849">
            <w:pPr>
              <w:spacing w:after="0" w:line="240" w:lineRule="auto"/>
              <w:jc w:val="center"/>
              <w:rPr>
                <w:rFonts w:ascii="Calibri" w:eastAsia="Times New Roman" w:hAnsi="Calibri" w:cs="Calibri"/>
                <w:color w:val="000000"/>
                <w:sz w:val="18"/>
                <w:szCs w:val="18"/>
              </w:rPr>
            </w:pPr>
            <w:r w:rsidRPr="00867849">
              <w:rPr>
                <w:rFonts w:ascii="Calibri" w:eastAsia="Times New Roman" w:hAnsi="Calibri" w:cs="Calibri"/>
                <w:color w:val="000000"/>
                <w:sz w:val="18"/>
                <w:szCs w:val="18"/>
              </w:rPr>
              <w:t>Use</w:t>
            </w:r>
          </w:p>
        </w:tc>
        <w:tc>
          <w:tcPr>
            <w:tcW w:w="2970" w:type="dxa"/>
            <w:tcBorders>
              <w:top w:val="nil"/>
              <w:left w:val="nil"/>
              <w:bottom w:val="single" w:sz="4" w:space="0" w:color="auto"/>
              <w:right w:val="single" w:sz="8" w:space="0" w:color="auto"/>
            </w:tcBorders>
            <w:shd w:val="clear" w:color="auto" w:fill="auto"/>
            <w:noWrap/>
            <w:vAlign w:val="bottom"/>
            <w:hideMark/>
          </w:tcPr>
          <w:p w14:paraId="52776270"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 xml:space="preserve"> End Balance </w:t>
            </w:r>
          </w:p>
        </w:tc>
      </w:tr>
      <w:tr w:rsidR="00867849" w:rsidRPr="00867849" w14:paraId="7F71443C" w14:textId="77777777" w:rsidTr="00867849">
        <w:trPr>
          <w:trHeight w:val="525"/>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5F203505"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2nd Quarter Real Estate Excise Tax</w:t>
            </w:r>
          </w:p>
        </w:tc>
        <w:tc>
          <w:tcPr>
            <w:tcW w:w="1530" w:type="dxa"/>
            <w:tcBorders>
              <w:top w:val="nil"/>
              <w:left w:val="nil"/>
              <w:bottom w:val="single" w:sz="4" w:space="0" w:color="auto"/>
              <w:right w:val="single" w:sz="4" w:space="0" w:color="auto"/>
            </w:tcBorders>
            <w:shd w:val="clear" w:color="auto" w:fill="auto"/>
            <w:noWrap/>
            <w:vAlign w:val="bottom"/>
            <w:hideMark/>
          </w:tcPr>
          <w:p w14:paraId="719EE7B1" w14:textId="77777777" w:rsidR="00867849" w:rsidRPr="00867849" w:rsidRDefault="00867849" w:rsidP="00867849">
            <w:pPr>
              <w:spacing w:after="0" w:line="240" w:lineRule="auto"/>
              <w:rPr>
                <w:rFonts w:ascii="Calibri" w:eastAsia="Times New Roman" w:hAnsi="Calibri" w:cs="Calibri"/>
                <w:b/>
                <w:bCs/>
                <w:color w:val="000000"/>
                <w:sz w:val="20"/>
                <w:szCs w:val="20"/>
              </w:rPr>
            </w:pPr>
            <w:r w:rsidRPr="00867849">
              <w:rPr>
                <w:rFonts w:ascii="Calibri" w:eastAsia="Times New Roman" w:hAnsi="Calibri" w:cs="Calibri"/>
                <w:b/>
                <w:bCs/>
                <w:color w:val="000000"/>
                <w:sz w:val="20"/>
                <w:szCs w:val="20"/>
              </w:rPr>
              <w:t>82.46.035 (2)</w:t>
            </w:r>
          </w:p>
        </w:tc>
        <w:tc>
          <w:tcPr>
            <w:tcW w:w="2700" w:type="dxa"/>
            <w:tcBorders>
              <w:top w:val="nil"/>
              <w:left w:val="nil"/>
              <w:bottom w:val="single" w:sz="4" w:space="0" w:color="auto"/>
              <w:right w:val="single" w:sz="4" w:space="0" w:color="auto"/>
            </w:tcBorders>
            <w:shd w:val="clear" w:color="auto" w:fill="auto"/>
            <w:vAlign w:val="center"/>
            <w:hideMark/>
          </w:tcPr>
          <w:p w14:paraId="782B5A33"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Capital Facilities Plan/Capital Projects</w:t>
            </w:r>
          </w:p>
        </w:tc>
        <w:tc>
          <w:tcPr>
            <w:tcW w:w="2970" w:type="dxa"/>
            <w:tcBorders>
              <w:top w:val="nil"/>
              <w:left w:val="nil"/>
              <w:bottom w:val="single" w:sz="4" w:space="0" w:color="auto"/>
              <w:right w:val="single" w:sz="8" w:space="0" w:color="auto"/>
            </w:tcBorders>
            <w:shd w:val="clear" w:color="auto" w:fill="auto"/>
            <w:noWrap/>
            <w:vAlign w:val="bottom"/>
            <w:hideMark/>
          </w:tcPr>
          <w:p w14:paraId="32303BC2"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396,575.29 </w:t>
            </w:r>
          </w:p>
        </w:tc>
      </w:tr>
      <w:tr w:rsidR="00867849" w:rsidRPr="00867849" w14:paraId="25FB1C4B" w14:textId="77777777" w:rsidTr="00867849">
        <w:trPr>
          <w:trHeight w:val="315"/>
        </w:trPr>
        <w:tc>
          <w:tcPr>
            <w:tcW w:w="2150" w:type="dxa"/>
            <w:tcBorders>
              <w:top w:val="nil"/>
              <w:left w:val="single" w:sz="8" w:space="0" w:color="auto"/>
              <w:bottom w:val="double" w:sz="6" w:space="0" w:color="auto"/>
              <w:right w:val="single" w:sz="4" w:space="0" w:color="auto"/>
            </w:tcBorders>
            <w:shd w:val="clear" w:color="auto" w:fill="auto"/>
            <w:vAlign w:val="bottom"/>
            <w:hideMark/>
          </w:tcPr>
          <w:p w14:paraId="3753ABEE"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Investment Interest</w:t>
            </w:r>
          </w:p>
        </w:tc>
        <w:tc>
          <w:tcPr>
            <w:tcW w:w="1530" w:type="dxa"/>
            <w:tcBorders>
              <w:top w:val="nil"/>
              <w:left w:val="nil"/>
              <w:bottom w:val="double" w:sz="6" w:space="0" w:color="auto"/>
              <w:right w:val="single" w:sz="4" w:space="0" w:color="auto"/>
            </w:tcBorders>
            <w:shd w:val="clear" w:color="auto" w:fill="auto"/>
            <w:noWrap/>
            <w:vAlign w:val="bottom"/>
            <w:hideMark/>
          </w:tcPr>
          <w:p w14:paraId="1FF7A64D"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 </w:t>
            </w:r>
          </w:p>
        </w:tc>
        <w:tc>
          <w:tcPr>
            <w:tcW w:w="2700" w:type="dxa"/>
            <w:tcBorders>
              <w:top w:val="nil"/>
              <w:left w:val="nil"/>
              <w:bottom w:val="double" w:sz="6" w:space="0" w:color="auto"/>
              <w:right w:val="single" w:sz="4" w:space="0" w:color="auto"/>
            </w:tcBorders>
            <w:shd w:val="clear" w:color="auto" w:fill="auto"/>
            <w:vAlign w:val="bottom"/>
            <w:hideMark/>
          </w:tcPr>
          <w:p w14:paraId="7AB38D78"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 </w:t>
            </w:r>
          </w:p>
        </w:tc>
        <w:tc>
          <w:tcPr>
            <w:tcW w:w="2970" w:type="dxa"/>
            <w:tcBorders>
              <w:top w:val="nil"/>
              <w:left w:val="nil"/>
              <w:bottom w:val="double" w:sz="6" w:space="0" w:color="auto"/>
              <w:right w:val="single" w:sz="8" w:space="0" w:color="auto"/>
            </w:tcBorders>
            <w:shd w:val="clear" w:color="auto" w:fill="auto"/>
            <w:noWrap/>
            <w:vAlign w:val="bottom"/>
            <w:hideMark/>
          </w:tcPr>
          <w:p w14:paraId="554728F5"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4,677.10 </w:t>
            </w:r>
          </w:p>
        </w:tc>
      </w:tr>
      <w:tr w:rsidR="00867849" w:rsidRPr="00867849" w14:paraId="2A409ABF" w14:textId="77777777" w:rsidTr="00867849">
        <w:trPr>
          <w:trHeight w:val="330"/>
        </w:trPr>
        <w:tc>
          <w:tcPr>
            <w:tcW w:w="2150" w:type="dxa"/>
            <w:tcBorders>
              <w:top w:val="nil"/>
              <w:left w:val="single" w:sz="8" w:space="0" w:color="auto"/>
              <w:bottom w:val="single" w:sz="8" w:space="0" w:color="auto"/>
              <w:right w:val="nil"/>
            </w:tcBorders>
            <w:shd w:val="clear" w:color="auto" w:fill="auto"/>
            <w:noWrap/>
            <w:vAlign w:val="bottom"/>
            <w:hideMark/>
          </w:tcPr>
          <w:p w14:paraId="2D792231"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w:t>
            </w:r>
          </w:p>
        </w:tc>
        <w:tc>
          <w:tcPr>
            <w:tcW w:w="1530" w:type="dxa"/>
            <w:tcBorders>
              <w:top w:val="nil"/>
              <w:left w:val="nil"/>
              <w:bottom w:val="single" w:sz="8" w:space="0" w:color="auto"/>
              <w:right w:val="nil"/>
            </w:tcBorders>
            <w:shd w:val="clear" w:color="auto" w:fill="auto"/>
            <w:noWrap/>
            <w:vAlign w:val="bottom"/>
            <w:hideMark/>
          </w:tcPr>
          <w:p w14:paraId="1B218D71"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w:t>
            </w:r>
          </w:p>
        </w:tc>
        <w:tc>
          <w:tcPr>
            <w:tcW w:w="2700" w:type="dxa"/>
            <w:tcBorders>
              <w:top w:val="nil"/>
              <w:left w:val="single" w:sz="4" w:space="0" w:color="auto"/>
              <w:bottom w:val="single" w:sz="8" w:space="0" w:color="auto"/>
              <w:right w:val="single" w:sz="4" w:space="0" w:color="auto"/>
            </w:tcBorders>
            <w:shd w:val="clear" w:color="auto" w:fill="auto"/>
            <w:vAlign w:val="bottom"/>
            <w:hideMark/>
          </w:tcPr>
          <w:p w14:paraId="713BE125" w14:textId="77777777" w:rsidR="00867849" w:rsidRPr="00867849" w:rsidRDefault="00867849" w:rsidP="00867849">
            <w:pPr>
              <w:spacing w:after="0" w:line="240" w:lineRule="auto"/>
              <w:rPr>
                <w:rFonts w:ascii="Calibri" w:eastAsia="Times New Roman" w:hAnsi="Calibri" w:cs="Calibri"/>
                <w:b/>
                <w:bCs/>
                <w:color w:val="000000"/>
                <w:sz w:val="18"/>
                <w:szCs w:val="18"/>
              </w:rPr>
            </w:pPr>
            <w:r w:rsidRPr="00867849">
              <w:rPr>
                <w:rFonts w:ascii="Calibri" w:eastAsia="Times New Roman" w:hAnsi="Calibri" w:cs="Calibri"/>
                <w:b/>
                <w:bCs/>
                <w:color w:val="000000"/>
                <w:sz w:val="18"/>
                <w:szCs w:val="18"/>
              </w:rPr>
              <w:t>Total Restricted Funds</w:t>
            </w:r>
          </w:p>
        </w:tc>
        <w:tc>
          <w:tcPr>
            <w:tcW w:w="2970" w:type="dxa"/>
            <w:tcBorders>
              <w:top w:val="nil"/>
              <w:left w:val="nil"/>
              <w:bottom w:val="single" w:sz="8" w:space="0" w:color="auto"/>
              <w:right w:val="single" w:sz="8" w:space="0" w:color="auto"/>
            </w:tcBorders>
            <w:shd w:val="clear" w:color="auto" w:fill="auto"/>
            <w:noWrap/>
            <w:vAlign w:val="bottom"/>
            <w:hideMark/>
          </w:tcPr>
          <w:p w14:paraId="21393205"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401,252.39 </w:t>
            </w:r>
          </w:p>
        </w:tc>
      </w:tr>
      <w:tr w:rsidR="00867849" w:rsidRPr="00867849" w14:paraId="634B5B7A" w14:textId="77777777" w:rsidTr="00867849">
        <w:trPr>
          <w:trHeight w:val="268"/>
        </w:trPr>
        <w:tc>
          <w:tcPr>
            <w:tcW w:w="9350"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0B7D5C52" w14:textId="77777777" w:rsidR="00867849" w:rsidRPr="00867849" w:rsidRDefault="00867849" w:rsidP="00867849">
            <w:pPr>
              <w:spacing w:after="0" w:line="240" w:lineRule="auto"/>
              <w:jc w:val="center"/>
              <w:rPr>
                <w:rFonts w:ascii="Cambria" w:eastAsia="Times New Roman" w:hAnsi="Cambria" w:cs="Calibri"/>
                <w:b/>
                <w:bCs/>
                <w:color w:val="000000"/>
                <w:sz w:val="20"/>
                <w:szCs w:val="20"/>
              </w:rPr>
            </w:pPr>
            <w:r w:rsidRPr="00867849">
              <w:rPr>
                <w:rFonts w:ascii="Cambria" w:eastAsia="Times New Roman" w:hAnsi="Cambria" w:cs="Calibri"/>
                <w:b/>
                <w:bCs/>
                <w:color w:val="000000"/>
                <w:sz w:val="20"/>
                <w:szCs w:val="20"/>
              </w:rPr>
              <w:t>USDA Bond Reserve Fund</w:t>
            </w:r>
          </w:p>
        </w:tc>
      </w:tr>
      <w:tr w:rsidR="00867849" w:rsidRPr="00867849" w14:paraId="7232422C" w14:textId="77777777" w:rsidTr="00867849">
        <w:trPr>
          <w:trHeight w:val="300"/>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5D013F2B"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Resource</w:t>
            </w:r>
          </w:p>
        </w:tc>
        <w:tc>
          <w:tcPr>
            <w:tcW w:w="1530" w:type="dxa"/>
            <w:tcBorders>
              <w:top w:val="nil"/>
              <w:left w:val="nil"/>
              <w:bottom w:val="single" w:sz="4" w:space="0" w:color="auto"/>
              <w:right w:val="single" w:sz="4" w:space="0" w:color="auto"/>
            </w:tcBorders>
            <w:shd w:val="clear" w:color="auto" w:fill="auto"/>
            <w:noWrap/>
            <w:vAlign w:val="bottom"/>
            <w:hideMark/>
          </w:tcPr>
          <w:p w14:paraId="13E14B63"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RCW</w:t>
            </w:r>
          </w:p>
        </w:tc>
        <w:tc>
          <w:tcPr>
            <w:tcW w:w="2700" w:type="dxa"/>
            <w:tcBorders>
              <w:top w:val="nil"/>
              <w:left w:val="nil"/>
              <w:bottom w:val="single" w:sz="4" w:space="0" w:color="auto"/>
              <w:right w:val="single" w:sz="4" w:space="0" w:color="auto"/>
            </w:tcBorders>
            <w:shd w:val="clear" w:color="auto" w:fill="auto"/>
            <w:vAlign w:val="bottom"/>
            <w:hideMark/>
          </w:tcPr>
          <w:p w14:paraId="4515C49F" w14:textId="77777777" w:rsidR="00867849" w:rsidRPr="00867849" w:rsidRDefault="00867849" w:rsidP="00867849">
            <w:pPr>
              <w:spacing w:after="0" w:line="240" w:lineRule="auto"/>
              <w:jc w:val="center"/>
              <w:rPr>
                <w:rFonts w:ascii="Calibri" w:eastAsia="Times New Roman" w:hAnsi="Calibri" w:cs="Calibri"/>
                <w:color w:val="000000"/>
                <w:sz w:val="18"/>
                <w:szCs w:val="18"/>
              </w:rPr>
            </w:pPr>
            <w:r w:rsidRPr="00867849">
              <w:rPr>
                <w:rFonts w:ascii="Calibri" w:eastAsia="Times New Roman" w:hAnsi="Calibri" w:cs="Calibri"/>
                <w:color w:val="000000"/>
                <w:sz w:val="18"/>
                <w:szCs w:val="18"/>
              </w:rPr>
              <w:t>Use</w:t>
            </w:r>
          </w:p>
        </w:tc>
        <w:tc>
          <w:tcPr>
            <w:tcW w:w="2970" w:type="dxa"/>
            <w:tcBorders>
              <w:top w:val="nil"/>
              <w:left w:val="nil"/>
              <w:bottom w:val="single" w:sz="4" w:space="0" w:color="auto"/>
              <w:right w:val="single" w:sz="8" w:space="0" w:color="auto"/>
            </w:tcBorders>
            <w:shd w:val="clear" w:color="auto" w:fill="auto"/>
            <w:noWrap/>
            <w:vAlign w:val="bottom"/>
            <w:hideMark/>
          </w:tcPr>
          <w:p w14:paraId="6F24CF51"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 xml:space="preserve"> End Balance </w:t>
            </w:r>
          </w:p>
        </w:tc>
      </w:tr>
      <w:tr w:rsidR="00867849" w:rsidRPr="00867849" w14:paraId="2B83098A" w14:textId="77777777" w:rsidTr="00867849">
        <w:trPr>
          <w:trHeight w:val="525"/>
        </w:trPr>
        <w:tc>
          <w:tcPr>
            <w:tcW w:w="2150" w:type="dxa"/>
            <w:tcBorders>
              <w:top w:val="nil"/>
              <w:left w:val="single" w:sz="8" w:space="0" w:color="auto"/>
              <w:bottom w:val="double" w:sz="6" w:space="0" w:color="auto"/>
              <w:right w:val="single" w:sz="4" w:space="0" w:color="auto"/>
            </w:tcBorders>
            <w:shd w:val="clear" w:color="auto" w:fill="auto"/>
            <w:vAlign w:val="center"/>
            <w:hideMark/>
          </w:tcPr>
          <w:p w14:paraId="0D21739F"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Reserves from Water Fund</w:t>
            </w:r>
          </w:p>
        </w:tc>
        <w:tc>
          <w:tcPr>
            <w:tcW w:w="1530" w:type="dxa"/>
            <w:tcBorders>
              <w:top w:val="nil"/>
              <w:left w:val="nil"/>
              <w:bottom w:val="double" w:sz="6" w:space="0" w:color="auto"/>
              <w:right w:val="single" w:sz="4" w:space="0" w:color="auto"/>
            </w:tcBorders>
            <w:shd w:val="clear" w:color="auto" w:fill="auto"/>
            <w:noWrap/>
            <w:vAlign w:val="bottom"/>
            <w:hideMark/>
          </w:tcPr>
          <w:p w14:paraId="575D41F3"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 </w:t>
            </w:r>
          </w:p>
        </w:tc>
        <w:tc>
          <w:tcPr>
            <w:tcW w:w="2700" w:type="dxa"/>
            <w:tcBorders>
              <w:top w:val="nil"/>
              <w:left w:val="nil"/>
              <w:bottom w:val="double" w:sz="6" w:space="0" w:color="auto"/>
              <w:right w:val="single" w:sz="4" w:space="0" w:color="auto"/>
            </w:tcBorders>
            <w:shd w:val="clear" w:color="auto" w:fill="auto"/>
            <w:vAlign w:val="bottom"/>
            <w:hideMark/>
          </w:tcPr>
          <w:p w14:paraId="2FB7E10B"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Held per loan agreement</w:t>
            </w:r>
          </w:p>
        </w:tc>
        <w:tc>
          <w:tcPr>
            <w:tcW w:w="2970" w:type="dxa"/>
            <w:tcBorders>
              <w:top w:val="nil"/>
              <w:left w:val="nil"/>
              <w:bottom w:val="double" w:sz="6" w:space="0" w:color="auto"/>
              <w:right w:val="single" w:sz="8" w:space="0" w:color="auto"/>
            </w:tcBorders>
            <w:shd w:val="clear" w:color="auto" w:fill="auto"/>
            <w:noWrap/>
            <w:vAlign w:val="bottom"/>
            <w:hideMark/>
          </w:tcPr>
          <w:p w14:paraId="3C412DB3"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22,710.00 </w:t>
            </w:r>
          </w:p>
        </w:tc>
      </w:tr>
      <w:tr w:rsidR="00867849" w:rsidRPr="00867849" w14:paraId="146E39F2" w14:textId="77777777" w:rsidTr="00867849">
        <w:trPr>
          <w:trHeight w:val="330"/>
        </w:trPr>
        <w:tc>
          <w:tcPr>
            <w:tcW w:w="2150" w:type="dxa"/>
            <w:tcBorders>
              <w:top w:val="nil"/>
              <w:left w:val="single" w:sz="8" w:space="0" w:color="auto"/>
              <w:bottom w:val="nil"/>
              <w:right w:val="nil"/>
            </w:tcBorders>
            <w:shd w:val="clear" w:color="auto" w:fill="auto"/>
            <w:noWrap/>
            <w:vAlign w:val="bottom"/>
            <w:hideMark/>
          </w:tcPr>
          <w:p w14:paraId="5D11C0FB"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w:t>
            </w:r>
          </w:p>
        </w:tc>
        <w:tc>
          <w:tcPr>
            <w:tcW w:w="1530" w:type="dxa"/>
            <w:tcBorders>
              <w:top w:val="nil"/>
              <w:left w:val="nil"/>
              <w:bottom w:val="nil"/>
              <w:right w:val="nil"/>
            </w:tcBorders>
            <w:shd w:val="clear" w:color="auto" w:fill="auto"/>
            <w:noWrap/>
            <w:vAlign w:val="bottom"/>
            <w:hideMark/>
          </w:tcPr>
          <w:p w14:paraId="0D2552D3" w14:textId="77777777" w:rsidR="00867849" w:rsidRPr="00867849" w:rsidRDefault="00867849" w:rsidP="00867849">
            <w:pPr>
              <w:spacing w:after="0" w:line="240" w:lineRule="auto"/>
              <w:rPr>
                <w:rFonts w:ascii="Calibri" w:eastAsia="Times New Roman" w:hAnsi="Calibri" w:cs="Calibri"/>
                <w:color w:val="000000"/>
              </w:rPr>
            </w:pPr>
          </w:p>
        </w:tc>
        <w:tc>
          <w:tcPr>
            <w:tcW w:w="2700" w:type="dxa"/>
            <w:tcBorders>
              <w:top w:val="nil"/>
              <w:left w:val="single" w:sz="4" w:space="0" w:color="auto"/>
              <w:bottom w:val="single" w:sz="8" w:space="0" w:color="auto"/>
              <w:right w:val="single" w:sz="4" w:space="0" w:color="auto"/>
            </w:tcBorders>
            <w:shd w:val="clear" w:color="auto" w:fill="auto"/>
            <w:vAlign w:val="bottom"/>
            <w:hideMark/>
          </w:tcPr>
          <w:p w14:paraId="6BE722DF" w14:textId="77777777" w:rsidR="00867849" w:rsidRPr="00867849" w:rsidRDefault="00867849" w:rsidP="00867849">
            <w:pPr>
              <w:spacing w:after="0" w:line="240" w:lineRule="auto"/>
              <w:rPr>
                <w:rFonts w:ascii="Calibri" w:eastAsia="Times New Roman" w:hAnsi="Calibri" w:cs="Calibri"/>
                <w:b/>
                <w:bCs/>
                <w:color w:val="000000"/>
                <w:sz w:val="18"/>
                <w:szCs w:val="18"/>
              </w:rPr>
            </w:pPr>
            <w:r w:rsidRPr="00867849">
              <w:rPr>
                <w:rFonts w:ascii="Calibri" w:eastAsia="Times New Roman" w:hAnsi="Calibri" w:cs="Calibri"/>
                <w:b/>
                <w:bCs/>
                <w:color w:val="000000"/>
                <w:sz w:val="18"/>
                <w:szCs w:val="18"/>
              </w:rPr>
              <w:t>Total Restricted Funds</w:t>
            </w:r>
          </w:p>
        </w:tc>
        <w:tc>
          <w:tcPr>
            <w:tcW w:w="2970" w:type="dxa"/>
            <w:tcBorders>
              <w:top w:val="nil"/>
              <w:left w:val="nil"/>
              <w:bottom w:val="nil"/>
              <w:right w:val="single" w:sz="8" w:space="0" w:color="auto"/>
            </w:tcBorders>
            <w:shd w:val="clear" w:color="auto" w:fill="auto"/>
            <w:noWrap/>
            <w:vAlign w:val="bottom"/>
            <w:hideMark/>
          </w:tcPr>
          <w:p w14:paraId="1D31A406"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22,710.00 </w:t>
            </w:r>
          </w:p>
        </w:tc>
      </w:tr>
      <w:tr w:rsidR="00867849" w:rsidRPr="00867849" w14:paraId="357F43DA" w14:textId="77777777" w:rsidTr="00867849">
        <w:trPr>
          <w:trHeight w:val="300"/>
        </w:trPr>
        <w:tc>
          <w:tcPr>
            <w:tcW w:w="9350"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63B1C27E" w14:textId="77777777" w:rsidR="00867849" w:rsidRPr="00867849" w:rsidRDefault="00867849" w:rsidP="00867849">
            <w:pPr>
              <w:spacing w:after="0" w:line="240" w:lineRule="auto"/>
              <w:jc w:val="center"/>
              <w:rPr>
                <w:rFonts w:ascii="Cambria" w:eastAsia="Times New Roman" w:hAnsi="Cambria" w:cs="Calibri"/>
                <w:b/>
                <w:bCs/>
                <w:color w:val="000000"/>
                <w:sz w:val="20"/>
                <w:szCs w:val="20"/>
              </w:rPr>
            </w:pPr>
            <w:r w:rsidRPr="00867849">
              <w:rPr>
                <w:rFonts w:ascii="Cambria" w:eastAsia="Times New Roman" w:hAnsi="Cambria" w:cs="Calibri"/>
                <w:b/>
                <w:bCs/>
                <w:color w:val="000000"/>
                <w:sz w:val="20"/>
                <w:szCs w:val="20"/>
              </w:rPr>
              <w:lastRenderedPageBreak/>
              <w:t>Water Deposit Trust Fund</w:t>
            </w:r>
          </w:p>
        </w:tc>
      </w:tr>
      <w:tr w:rsidR="00867849" w:rsidRPr="00867849" w14:paraId="4761F577" w14:textId="77777777" w:rsidTr="00867849">
        <w:trPr>
          <w:trHeight w:val="300"/>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6E5AC122"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Resource</w:t>
            </w:r>
          </w:p>
        </w:tc>
        <w:tc>
          <w:tcPr>
            <w:tcW w:w="1530" w:type="dxa"/>
            <w:tcBorders>
              <w:top w:val="nil"/>
              <w:left w:val="nil"/>
              <w:bottom w:val="single" w:sz="4" w:space="0" w:color="auto"/>
              <w:right w:val="single" w:sz="4" w:space="0" w:color="auto"/>
            </w:tcBorders>
            <w:shd w:val="clear" w:color="auto" w:fill="auto"/>
            <w:noWrap/>
            <w:vAlign w:val="bottom"/>
            <w:hideMark/>
          </w:tcPr>
          <w:p w14:paraId="2AB0255F"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Ordinance</w:t>
            </w:r>
          </w:p>
        </w:tc>
        <w:tc>
          <w:tcPr>
            <w:tcW w:w="2700" w:type="dxa"/>
            <w:tcBorders>
              <w:top w:val="nil"/>
              <w:left w:val="nil"/>
              <w:bottom w:val="single" w:sz="4" w:space="0" w:color="auto"/>
              <w:right w:val="single" w:sz="4" w:space="0" w:color="auto"/>
            </w:tcBorders>
            <w:shd w:val="clear" w:color="auto" w:fill="auto"/>
            <w:vAlign w:val="bottom"/>
            <w:hideMark/>
          </w:tcPr>
          <w:p w14:paraId="42967644" w14:textId="77777777" w:rsidR="00867849" w:rsidRPr="00867849" w:rsidRDefault="00867849" w:rsidP="00867849">
            <w:pPr>
              <w:spacing w:after="0" w:line="240" w:lineRule="auto"/>
              <w:jc w:val="center"/>
              <w:rPr>
                <w:rFonts w:ascii="Calibri" w:eastAsia="Times New Roman" w:hAnsi="Calibri" w:cs="Calibri"/>
                <w:color w:val="000000"/>
                <w:sz w:val="18"/>
                <w:szCs w:val="18"/>
              </w:rPr>
            </w:pPr>
            <w:r w:rsidRPr="00867849">
              <w:rPr>
                <w:rFonts w:ascii="Calibri" w:eastAsia="Times New Roman" w:hAnsi="Calibri" w:cs="Calibri"/>
                <w:color w:val="000000"/>
                <w:sz w:val="18"/>
                <w:szCs w:val="18"/>
              </w:rPr>
              <w:t>Use</w:t>
            </w:r>
          </w:p>
        </w:tc>
        <w:tc>
          <w:tcPr>
            <w:tcW w:w="2970" w:type="dxa"/>
            <w:tcBorders>
              <w:top w:val="nil"/>
              <w:left w:val="nil"/>
              <w:bottom w:val="single" w:sz="4" w:space="0" w:color="auto"/>
              <w:right w:val="single" w:sz="8" w:space="0" w:color="auto"/>
            </w:tcBorders>
            <w:shd w:val="clear" w:color="auto" w:fill="auto"/>
            <w:noWrap/>
            <w:vAlign w:val="bottom"/>
            <w:hideMark/>
          </w:tcPr>
          <w:p w14:paraId="2143F6DB"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 xml:space="preserve"> End Balance </w:t>
            </w:r>
          </w:p>
        </w:tc>
      </w:tr>
      <w:tr w:rsidR="00867849" w:rsidRPr="00867849" w14:paraId="01180B66" w14:textId="77777777" w:rsidTr="00867849">
        <w:trPr>
          <w:trHeight w:val="735"/>
        </w:trPr>
        <w:tc>
          <w:tcPr>
            <w:tcW w:w="2150" w:type="dxa"/>
            <w:tcBorders>
              <w:top w:val="nil"/>
              <w:left w:val="single" w:sz="8" w:space="0" w:color="auto"/>
              <w:bottom w:val="double" w:sz="6" w:space="0" w:color="auto"/>
              <w:right w:val="single" w:sz="4" w:space="0" w:color="auto"/>
            </w:tcBorders>
            <w:shd w:val="clear" w:color="auto" w:fill="auto"/>
            <w:vAlign w:val="center"/>
            <w:hideMark/>
          </w:tcPr>
          <w:p w14:paraId="1412C221"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Customer Utility Deposits</w:t>
            </w:r>
          </w:p>
        </w:tc>
        <w:tc>
          <w:tcPr>
            <w:tcW w:w="1530" w:type="dxa"/>
            <w:tcBorders>
              <w:top w:val="nil"/>
              <w:left w:val="nil"/>
              <w:bottom w:val="double" w:sz="6" w:space="0" w:color="auto"/>
              <w:right w:val="single" w:sz="4" w:space="0" w:color="auto"/>
            </w:tcBorders>
            <w:shd w:val="clear" w:color="auto" w:fill="auto"/>
            <w:noWrap/>
            <w:vAlign w:val="bottom"/>
            <w:hideMark/>
          </w:tcPr>
          <w:p w14:paraId="2EAE350B"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246, 502, 521</w:t>
            </w:r>
          </w:p>
        </w:tc>
        <w:tc>
          <w:tcPr>
            <w:tcW w:w="2700" w:type="dxa"/>
            <w:tcBorders>
              <w:top w:val="nil"/>
              <w:left w:val="nil"/>
              <w:bottom w:val="double" w:sz="6" w:space="0" w:color="auto"/>
              <w:right w:val="single" w:sz="4" w:space="0" w:color="auto"/>
            </w:tcBorders>
            <w:shd w:val="clear" w:color="auto" w:fill="auto"/>
            <w:vAlign w:val="center"/>
            <w:hideMark/>
          </w:tcPr>
          <w:p w14:paraId="6C35C4A7"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Customer Utility Account/Refund Deposit</w:t>
            </w:r>
          </w:p>
        </w:tc>
        <w:tc>
          <w:tcPr>
            <w:tcW w:w="2970" w:type="dxa"/>
            <w:tcBorders>
              <w:top w:val="nil"/>
              <w:left w:val="nil"/>
              <w:bottom w:val="double" w:sz="6" w:space="0" w:color="auto"/>
              <w:right w:val="single" w:sz="8" w:space="0" w:color="auto"/>
            </w:tcBorders>
            <w:shd w:val="clear" w:color="auto" w:fill="auto"/>
            <w:noWrap/>
            <w:vAlign w:val="bottom"/>
            <w:hideMark/>
          </w:tcPr>
          <w:p w14:paraId="65C63CD1"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4,714.45 </w:t>
            </w:r>
          </w:p>
        </w:tc>
      </w:tr>
      <w:tr w:rsidR="00867849" w:rsidRPr="00867849" w14:paraId="5D9AAD19" w14:textId="77777777" w:rsidTr="00867849">
        <w:trPr>
          <w:trHeight w:val="330"/>
        </w:trPr>
        <w:tc>
          <w:tcPr>
            <w:tcW w:w="2150" w:type="dxa"/>
            <w:tcBorders>
              <w:top w:val="nil"/>
              <w:left w:val="single" w:sz="8" w:space="0" w:color="auto"/>
              <w:bottom w:val="nil"/>
              <w:right w:val="nil"/>
            </w:tcBorders>
            <w:shd w:val="clear" w:color="auto" w:fill="auto"/>
            <w:noWrap/>
            <w:vAlign w:val="bottom"/>
            <w:hideMark/>
          </w:tcPr>
          <w:p w14:paraId="127A09FF"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w:t>
            </w:r>
          </w:p>
        </w:tc>
        <w:tc>
          <w:tcPr>
            <w:tcW w:w="1530" w:type="dxa"/>
            <w:tcBorders>
              <w:top w:val="nil"/>
              <w:left w:val="nil"/>
              <w:bottom w:val="nil"/>
              <w:right w:val="nil"/>
            </w:tcBorders>
            <w:shd w:val="clear" w:color="auto" w:fill="auto"/>
            <w:noWrap/>
            <w:vAlign w:val="bottom"/>
            <w:hideMark/>
          </w:tcPr>
          <w:p w14:paraId="6EDE291E" w14:textId="77777777" w:rsidR="00867849" w:rsidRPr="00867849" w:rsidRDefault="00867849" w:rsidP="00867849">
            <w:pPr>
              <w:spacing w:after="0" w:line="240" w:lineRule="auto"/>
              <w:rPr>
                <w:rFonts w:ascii="Calibri" w:eastAsia="Times New Roman" w:hAnsi="Calibri" w:cs="Calibri"/>
                <w:color w:val="000000"/>
              </w:rPr>
            </w:pPr>
          </w:p>
        </w:tc>
        <w:tc>
          <w:tcPr>
            <w:tcW w:w="2700" w:type="dxa"/>
            <w:tcBorders>
              <w:top w:val="nil"/>
              <w:left w:val="single" w:sz="4" w:space="0" w:color="auto"/>
              <w:bottom w:val="single" w:sz="8" w:space="0" w:color="auto"/>
              <w:right w:val="single" w:sz="4" w:space="0" w:color="auto"/>
            </w:tcBorders>
            <w:shd w:val="clear" w:color="auto" w:fill="auto"/>
            <w:vAlign w:val="bottom"/>
            <w:hideMark/>
          </w:tcPr>
          <w:p w14:paraId="5BDC530E" w14:textId="77777777" w:rsidR="00867849" w:rsidRPr="00867849" w:rsidRDefault="00867849" w:rsidP="00867849">
            <w:pPr>
              <w:spacing w:after="0" w:line="240" w:lineRule="auto"/>
              <w:rPr>
                <w:rFonts w:ascii="Calibri" w:eastAsia="Times New Roman" w:hAnsi="Calibri" w:cs="Calibri"/>
                <w:b/>
                <w:bCs/>
                <w:color w:val="000000"/>
                <w:sz w:val="18"/>
                <w:szCs w:val="18"/>
              </w:rPr>
            </w:pPr>
            <w:r w:rsidRPr="00867849">
              <w:rPr>
                <w:rFonts w:ascii="Calibri" w:eastAsia="Times New Roman" w:hAnsi="Calibri" w:cs="Calibri"/>
                <w:b/>
                <w:bCs/>
                <w:color w:val="000000"/>
                <w:sz w:val="18"/>
                <w:szCs w:val="18"/>
              </w:rPr>
              <w:t>Total Restricted Funds</w:t>
            </w:r>
          </w:p>
        </w:tc>
        <w:tc>
          <w:tcPr>
            <w:tcW w:w="2970" w:type="dxa"/>
            <w:tcBorders>
              <w:top w:val="nil"/>
              <w:left w:val="nil"/>
              <w:bottom w:val="nil"/>
              <w:right w:val="single" w:sz="8" w:space="0" w:color="auto"/>
            </w:tcBorders>
            <w:shd w:val="clear" w:color="auto" w:fill="auto"/>
            <w:noWrap/>
            <w:vAlign w:val="bottom"/>
            <w:hideMark/>
          </w:tcPr>
          <w:p w14:paraId="2E6B1894"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4,714.45 </w:t>
            </w:r>
          </w:p>
        </w:tc>
      </w:tr>
      <w:tr w:rsidR="00867849" w:rsidRPr="00867849" w14:paraId="297F4195" w14:textId="77777777" w:rsidTr="00867849">
        <w:trPr>
          <w:trHeight w:val="300"/>
        </w:trPr>
        <w:tc>
          <w:tcPr>
            <w:tcW w:w="9350"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11EF6EED" w14:textId="77777777" w:rsidR="00867849" w:rsidRPr="00867849" w:rsidRDefault="00867849" w:rsidP="00867849">
            <w:pPr>
              <w:spacing w:after="0" w:line="240" w:lineRule="auto"/>
              <w:jc w:val="center"/>
              <w:rPr>
                <w:rFonts w:ascii="Cambria" w:eastAsia="Times New Roman" w:hAnsi="Cambria" w:cs="Calibri"/>
                <w:b/>
                <w:bCs/>
                <w:color w:val="000000"/>
                <w:sz w:val="20"/>
                <w:szCs w:val="20"/>
              </w:rPr>
            </w:pPr>
            <w:r w:rsidRPr="00867849">
              <w:rPr>
                <w:rFonts w:ascii="Cambria" w:eastAsia="Times New Roman" w:hAnsi="Cambria" w:cs="Calibri"/>
                <w:b/>
                <w:bCs/>
                <w:color w:val="000000"/>
                <w:sz w:val="20"/>
                <w:szCs w:val="20"/>
              </w:rPr>
              <w:t>Sewer Capital Equipment Fund</w:t>
            </w:r>
          </w:p>
        </w:tc>
      </w:tr>
      <w:tr w:rsidR="00867849" w:rsidRPr="00867849" w14:paraId="7D22E21C" w14:textId="77777777" w:rsidTr="00867849">
        <w:trPr>
          <w:trHeight w:val="300"/>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1203AF8C"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Resource</w:t>
            </w:r>
          </w:p>
        </w:tc>
        <w:tc>
          <w:tcPr>
            <w:tcW w:w="1530" w:type="dxa"/>
            <w:tcBorders>
              <w:top w:val="nil"/>
              <w:left w:val="nil"/>
              <w:bottom w:val="single" w:sz="4" w:space="0" w:color="auto"/>
              <w:right w:val="single" w:sz="4" w:space="0" w:color="auto"/>
            </w:tcBorders>
            <w:shd w:val="clear" w:color="auto" w:fill="auto"/>
            <w:noWrap/>
            <w:vAlign w:val="bottom"/>
            <w:hideMark/>
          </w:tcPr>
          <w:p w14:paraId="32724D1A"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Ordinance</w:t>
            </w:r>
          </w:p>
        </w:tc>
        <w:tc>
          <w:tcPr>
            <w:tcW w:w="2700" w:type="dxa"/>
            <w:tcBorders>
              <w:top w:val="nil"/>
              <w:left w:val="nil"/>
              <w:bottom w:val="single" w:sz="4" w:space="0" w:color="auto"/>
              <w:right w:val="single" w:sz="4" w:space="0" w:color="auto"/>
            </w:tcBorders>
            <w:shd w:val="clear" w:color="auto" w:fill="auto"/>
            <w:vAlign w:val="bottom"/>
            <w:hideMark/>
          </w:tcPr>
          <w:p w14:paraId="66049D9C" w14:textId="77777777" w:rsidR="00867849" w:rsidRPr="00867849" w:rsidRDefault="00867849" w:rsidP="00867849">
            <w:pPr>
              <w:spacing w:after="0" w:line="240" w:lineRule="auto"/>
              <w:jc w:val="center"/>
              <w:rPr>
                <w:rFonts w:ascii="Calibri" w:eastAsia="Times New Roman" w:hAnsi="Calibri" w:cs="Calibri"/>
                <w:color w:val="000000"/>
                <w:sz w:val="18"/>
                <w:szCs w:val="18"/>
              </w:rPr>
            </w:pPr>
            <w:r w:rsidRPr="00867849">
              <w:rPr>
                <w:rFonts w:ascii="Calibri" w:eastAsia="Times New Roman" w:hAnsi="Calibri" w:cs="Calibri"/>
                <w:color w:val="000000"/>
                <w:sz w:val="18"/>
                <w:szCs w:val="18"/>
              </w:rPr>
              <w:t>Use</w:t>
            </w:r>
          </w:p>
        </w:tc>
        <w:tc>
          <w:tcPr>
            <w:tcW w:w="2970" w:type="dxa"/>
            <w:tcBorders>
              <w:top w:val="nil"/>
              <w:left w:val="nil"/>
              <w:bottom w:val="single" w:sz="4" w:space="0" w:color="auto"/>
              <w:right w:val="single" w:sz="8" w:space="0" w:color="auto"/>
            </w:tcBorders>
            <w:shd w:val="clear" w:color="auto" w:fill="auto"/>
            <w:noWrap/>
            <w:vAlign w:val="bottom"/>
            <w:hideMark/>
          </w:tcPr>
          <w:p w14:paraId="5A1F483B"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 xml:space="preserve"> End Balance </w:t>
            </w:r>
          </w:p>
        </w:tc>
      </w:tr>
      <w:tr w:rsidR="00867849" w:rsidRPr="00867849" w14:paraId="20E559C6" w14:textId="77777777" w:rsidTr="00867849">
        <w:trPr>
          <w:trHeight w:val="540"/>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3E4954D7"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Transfers from Sewer Fund</w:t>
            </w:r>
          </w:p>
        </w:tc>
        <w:tc>
          <w:tcPr>
            <w:tcW w:w="1530" w:type="dxa"/>
            <w:tcBorders>
              <w:top w:val="nil"/>
              <w:left w:val="nil"/>
              <w:bottom w:val="single" w:sz="4" w:space="0" w:color="auto"/>
              <w:right w:val="single" w:sz="4" w:space="0" w:color="auto"/>
            </w:tcBorders>
            <w:shd w:val="clear" w:color="auto" w:fill="auto"/>
            <w:noWrap/>
            <w:vAlign w:val="bottom"/>
            <w:hideMark/>
          </w:tcPr>
          <w:p w14:paraId="1E48A1EF"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588</w:t>
            </w:r>
          </w:p>
        </w:tc>
        <w:tc>
          <w:tcPr>
            <w:tcW w:w="2700" w:type="dxa"/>
            <w:tcBorders>
              <w:top w:val="nil"/>
              <w:left w:val="nil"/>
              <w:bottom w:val="single" w:sz="4" w:space="0" w:color="auto"/>
              <w:right w:val="single" w:sz="4" w:space="0" w:color="auto"/>
            </w:tcBorders>
            <w:shd w:val="clear" w:color="auto" w:fill="auto"/>
            <w:vAlign w:val="bottom"/>
            <w:hideMark/>
          </w:tcPr>
          <w:p w14:paraId="637921E4"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Capital Equipment</w:t>
            </w:r>
          </w:p>
        </w:tc>
        <w:tc>
          <w:tcPr>
            <w:tcW w:w="2970" w:type="dxa"/>
            <w:tcBorders>
              <w:top w:val="nil"/>
              <w:left w:val="nil"/>
              <w:bottom w:val="double" w:sz="6" w:space="0" w:color="auto"/>
              <w:right w:val="single" w:sz="8" w:space="0" w:color="auto"/>
            </w:tcBorders>
            <w:shd w:val="clear" w:color="auto" w:fill="auto"/>
            <w:noWrap/>
            <w:vAlign w:val="bottom"/>
            <w:hideMark/>
          </w:tcPr>
          <w:p w14:paraId="39162063"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24,813.55 </w:t>
            </w:r>
          </w:p>
        </w:tc>
      </w:tr>
      <w:tr w:rsidR="00867849" w:rsidRPr="00867849" w14:paraId="6166E145" w14:textId="77777777" w:rsidTr="00867849">
        <w:trPr>
          <w:trHeight w:val="330"/>
        </w:trPr>
        <w:tc>
          <w:tcPr>
            <w:tcW w:w="2150" w:type="dxa"/>
            <w:tcBorders>
              <w:top w:val="nil"/>
              <w:left w:val="single" w:sz="8" w:space="0" w:color="auto"/>
              <w:bottom w:val="nil"/>
              <w:right w:val="nil"/>
            </w:tcBorders>
            <w:shd w:val="clear" w:color="auto" w:fill="auto"/>
            <w:noWrap/>
            <w:vAlign w:val="bottom"/>
            <w:hideMark/>
          </w:tcPr>
          <w:p w14:paraId="19B1B24F"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w:t>
            </w:r>
          </w:p>
        </w:tc>
        <w:tc>
          <w:tcPr>
            <w:tcW w:w="1530" w:type="dxa"/>
            <w:tcBorders>
              <w:top w:val="nil"/>
              <w:left w:val="nil"/>
              <w:bottom w:val="nil"/>
              <w:right w:val="nil"/>
            </w:tcBorders>
            <w:shd w:val="clear" w:color="auto" w:fill="auto"/>
            <w:noWrap/>
            <w:vAlign w:val="bottom"/>
            <w:hideMark/>
          </w:tcPr>
          <w:p w14:paraId="51124F13" w14:textId="77777777" w:rsidR="00867849" w:rsidRPr="00867849" w:rsidRDefault="00867849" w:rsidP="00867849">
            <w:pPr>
              <w:spacing w:after="0" w:line="240" w:lineRule="auto"/>
              <w:rPr>
                <w:rFonts w:ascii="Calibri" w:eastAsia="Times New Roman" w:hAnsi="Calibri" w:cs="Calibri"/>
                <w:color w:val="000000"/>
              </w:rPr>
            </w:pPr>
          </w:p>
        </w:tc>
        <w:tc>
          <w:tcPr>
            <w:tcW w:w="2700" w:type="dxa"/>
            <w:tcBorders>
              <w:top w:val="double" w:sz="6" w:space="0" w:color="auto"/>
              <w:left w:val="single" w:sz="4" w:space="0" w:color="auto"/>
              <w:bottom w:val="single" w:sz="8" w:space="0" w:color="auto"/>
              <w:right w:val="single" w:sz="4" w:space="0" w:color="auto"/>
            </w:tcBorders>
            <w:shd w:val="clear" w:color="auto" w:fill="auto"/>
            <w:vAlign w:val="bottom"/>
            <w:hideMark/>
          </w:tcPr>
          <w:p w14:paraId="46706597" w14:textId="77777777" w:rsidR="00867849" w:rsidRPr="00867849" w:rsidRDefault="00867849" w:rsidP="00867849">
            <w:pPr>
              <w:spacing w:after="0" w:line="240" w:lineRule="auto"/>
              <w:rPr>
                <w:rFonts w:ascii="Calibri" w:eastAsia="Times New Roman" w:hAnsi="Calibri" w:cs="Calibri"/>
                <w:b/>
                <w:bCs/>
                <w:color w:val="000000"/>
                <w:sz w:val="18"/>
                <w:szCs w:val="18"/>
              </w:rPr>
            </w:pPr>
            <w:r w:rsidRPr="00867849">
              <w:rPr>
                <w:rFonts w:ascii="Calibri" w:eastAsia="Times New Roman" w:hAnsi="Calibri" w:cs="Calibri"/>
                <w:b/>
                <w:bCs/>
                <w:color w:val="000000"/>
                <w:sz w:val="18"/>
                <w:szCs w:val="18"/>
              </w:rPr>
              <w:t>Total Restricted Funds</w:t>
            </w:r>
          </w:p>
        </w:tc>
        <w:tc>
          <w:tcPr>
            <w:tcW w:w="2970" w:type="dxa"/>
            <w:tcBorders>
              <w:top w:val="nil"/>
              <w:left w:val="nil"/>
              <w:bottom w:val="nil"/>
              <w:right w:val="single" w:sz="8" w:space="0" w:color="auto"/>
            </w:tcBorders>
            <w:shd w:val="clear" w:color="auto" w:fill="auto"/>
            <w:noWrap/>
            <w:vAlign w:val="bottom"/>
            <w:hideMark/>
          </w:tcPr>
          <w:p w14:paraId="60F63BF4"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24,813.55 </w:t>
            </w:r>
          </w:p>
        </w:tc>
      </w:tr>
      <w:tr w:rsidR="00867849" w:rsidRPr="00867849" w14:paraId="34852214" w14:textId="77777777" w:rsidTr="00867849">
        <w:trPr>
          <w:trHeight w:val="300"/>
        </w:trPr>
        <w:tc>
          <w:tcPr>
            <w:tcW w:w="9350"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2DD07E8" w14:textId="77777777" w:rsidR="00867849" w:rsidRPr="00867849" w:rsidRDefault="00867849" w:rsidP="00867849">
            <w:pPr>
              <w:spacing w:after="0" w:line="240" w:lineRule="auto"/>
              <w:jc w:val="center"/>
              <w:rPr>
                <w:rFonts w:ascii="Cambria" w:eastAsia="Times New Roman" w:hAnsi="Cambria" w:cs="Calibri"/>
                <w:b/>
                <w:bCs/>
                <w:color w:val="000000"/>
                <w:sz w:val="20"/>
                <w:szCs w:val="20"/>
              </w:rPr>
            </w:pPr>
            <w:r w:rsidRPr="00867849">
              <w:rPr>
                <w:rFonts w:ascii="Cambria" w:eastAsia="Times New Roman" w:hAnsi="Cambria" w:cs="Calibri"/>
                <w:b/>
                <w:bCs/>
                <w:color w:val="000000"/>
                <w:sz w:val="20"/>
                <w:szCs w:val="20"/>
              </w:rPr>
              <w:t>Water Capital Equipment Fund</w:t>
            </w:r>
          </w:p>
        </w:tc>
      </w:tr>
      <w:tr w:rsidR="00867849" w:rsidRPr="00867849" w14:paraId="71A1A363" w14:textId="77777777" w:rsidTr="00867849">
        <w:trPr>
          <w:trHeight w:val="300"/>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72792816"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Resource</w:t>
            </w:r>
          </w:p>
        </w:tc>
        <w:tc>
          <w:tcPr>
            <w:tcW w:w="1530" w:type="dxa"/>
            <w:tcBorders>
              <w:top w:val="nil"/>
              <w:left w:val="nil"/>
              <w:bottom w:val="single" w:sz="4" w:space="0" w:color="auto"/>
              <w:right w:val="single" w:sz="4" w:space="0" w:color="auto"/>
            </w:tcBorders>
            <w:shd w:val="clear" w:color="auto" w:fill="auto"/>
            <w:noWrap/>
            <w:vAlign w:val="bottom"/>
            <w:hideMark/>
          </w:tcPr>
          <w:p w14:paraId="2D03D77E"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Ordinance</w:t>
            </w:r>
          </w:p>
        </w:tc>
        <w:tc>
          <w:tcPr>
            <w:tcW w:w="2700" w:type="dxa"/>
            <w:tcBorders>
              <w:top w:val="nil"/>
              <w:left w:val="nil"/>
              <w:bottom w:val="single" w:sz="4" w:space="0" w:color="auto"/>
              <w:right w:val="single" w:sz="4" w:space="0" w:color="auto"/>
            </w:tcBorders>
            <w:shd w:val="clear" w:color="auto" w:fill="auto"/>
            <w:vAlign w:val="bottom"/>
            <w:hideMark/>
          </w:tcPr>
          <w:p w14:paraId="076ECE39" w14:textId="77777777" w:rsidR="00867849" w:rsidRPr="00867849" w:rsidRDefault="00867849" w:rsidP="00867849">
            <w:pPr>
              <w:spacing w:after="0" w:line="240" w:lineRule="auto"/>
              <w:jc w:val="center"/>
              <w:rPr>
                <w:rFonts w:ascii="Calibri" w:eastAsia="Times New Roman" w:hAnsi="Calibri" w:cs="Calibri"/>
                <w:color w:val="000000"/>
                <w:sz w:val="18"/>
                <w:szCs w:val="18"/>
              </w:rPr>
            </w:pPr>
            <w:r w:rsidRPr="00867849">
              <w:rPr>
                <w:rFonts w:ascii="Calibri" w:eastAsia="Times New Roman" w:hAnsi="Calibri" w:cs="Calibri"/>
                <w:color w:val="000000"/>
                <w:sz w:val="18"/>
                <w:szCs w:val="18"/>
              </w:rPr>
              <w:t>Use</w:t>
            </w:r>
          </w:p>
        </w:tc>
        <w:tc>
          <w:tcPr>
            <w:tcW w:w="2970" w:type="dxa"/>
            <w:tcBorders>
              <w:top w:val="nil"/>
              <w:left w:val="nil"/>
              <w:bottom w:val="single" w:sz="4" w:space="0" w:color="auto"/>
              <w:right w:val="single" w:sz="8" w:space="0" w:color="auto"/>
            </w:tcBorders>
            <w:shd w:val="clear" w:color="auto" w:fill="auto"/>
            <w:noWrap/>
            <w:vAlign w:val="bottom"/>
            <w:hideMark/>
          </w:tcPr>
          <w:p w14:paraId="40EA2531"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 xml:space="preserve"> End Balance </w:t>
            </w:r>
          </w:p>
        </w:tc>
      </w:tr>
      <w:tr w:rsidR="00867849" w:rsidRPr="00867849" w14:paraId="46E693E6" w14:textId="77777777" w:rsidTr="00867849">
        <w:trPr>
          <w:trHeight w:val="540"/>
        </w:trPr>
        <w:tc>
          <w:tcPr>
            <w:tcW w:w="2150" w:type="dxa"/>
            <w:tcBorders>
              <w:top w:val="nil"/>
              <w:left w:val="single" w:sz="8" w:space="0" w:color="auto"/>
              <w:bottom w:val="double" w:sz="6" w:space="0" w:color="auto"/>
              <w:right w:val="single" w:sz="4" w:space="0" w:color="auto"/>
            </w:tcBorders>
            <w:shd w:val="clear" w:color="auto" w:fill="auto"/>
            <w:vAlign w:val="bottom"/>
            <w:hideMark/>
          </w:tcPr>
          <w:p w14:paraId="6105FDF4"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Transfers from Water Fund</w:t>
            </w:r>
          </w:p>
        </w:tc>
        <w:tc>
          <w:tcPr>
            <w:tcW w:w="1530" w:type="dxa"/>
            <w:tcBorders>
              <w:top w:val="nil"/>
              <w:left w:val="nil"/>
              <w:bottom w:val="single" w:sz="4" w:space="0" w:color="auto"/>
              <w:right w:val="single" w:sz="4" w:space="0" w:color="auto"/>
            </w:tcBorders>
            <w:shd w:val="clear" w:color="auto" w:fill="auto"/>
            <w:noWrap/>
            <w:vAlign w:val="bottom"/>
            <w:hideMark/>
          </w:tcPr>
          <w:p w14:paraId="3DEC768C"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588</w:t>
            </w:r>
          </w:p>
        </w:tc>
        <w:tc>
          <w:tcPr>
            <w:tcW w:w="2700" w:type="dxa"/>
            <w:tcBorders>
              <w:top w:val="nil"/>
              <w:left w:val="nil"/>
              <w:bottom w:val="single" w:sz="4" w:space="0" w:color="auto"/>
              <w:right w:val="single" w:sz="4" w:space="0" w:color="auto"/>
            </w:tcBorders>
            <w:shd w:val="clear" w:color="auto" w:fill="auto"/>
            <w:vAlign w:val="bottom"/>
            <w:hideMark/>
          </w:tcPr>
          <w:p w14:paraId="338CAAD5"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Capital Equipment</w:t>
            </w:r>
          </w:p>
        </w:tc>
        <w:tc>
          <w:tcPr>
            <w:tcW w:w="2970" w:type="dxa"/>
            <w:tcBorders>
              <w:top w:val="nil"/>
              <w:left w:val="nil"/>
              <w:bottom w:val="double" w:sz="6" w:space="0" w:color="auto"/>
              <w:right w:val="single" w:sz="8" w:space="0" w:color="auto"/>
            </w:tcBorders>
            <w:shd w:val="clear" w:color="auto" w:fill="auto"/>
            <w:noWrap/>
            <w:vAlign w:val="bottom"/>
            <w:hideMark/>
          </w:tcPr>
          <w:p w14:paraId="36827C48"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24,813.54 </w:t>
            </w:r>
          </w:p>
        </w:tc>
      </w:tr>
      <w:tr w:rsidR="00867849" w:rsidRPr="00867849" w14:paraId="3AB2262A" w14:textId="77777777" w:rsidTr="00867849">
        <w:trPr>
          <w:trHeight w:val="330"/>
        </w:trPr>
        <w:tc>
          <w:tcPr>
            <w:tcW w:w="2150" w:type="dxa"/>
            <w:tcBorders>
              <w:top w:val="nil"/>
              <w:left w:val="single" w:sz="8" w:space="0" w:color="auto"/>
              <w:bottom w:val="nil"/>
              <w:right w:val="nil"/>
            </w:tcBorders>
            <w:shd w:val="clear" w:color="auto" w:fill="auto"/>
            <w:noWrap/>
            <w:vAlign w:val="bottom"/>
            <w:hideMark/>
          </w:tcPr>
          <w:p w14:paraId="16C4ABCF"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w:t>
            </w:r>
          </w:p>
        </w:tc>
        <w:tc>
          <w:tcPr>
            <w:tcW w:w="1530" w:type="dxa"/>
            <w:tcBorders>
              <w:top w:val="nil"/>
              <w:left w:val="nil"/>
              <w:bottom w:val="nil"/>
              <w:right w:val="nil"/>
            </w:tcBorders>
            <w:shd w:val="clear" w:color="auto" w:fill="auto"/>
            <w:noWrap/>
            <w:vAlign w:val="bottom"/>
            <w:hideMark/>
          </w:tcPr>
          <w:p w14:paraId="11FFE218" w14:textId="77777777" w:rsidR="00867849" w:rsidRPr="00867849" w:rsidRDefault="00867849" w:rsidP="00867849">
            <w:pPr>
              <w:spacing w:after="0" w:line="240" w:lineRule="auto"/>
              <w:rPr>
                <w:rFonts w:ascii="Calibri" w:eastAsia="Times New Roman" w:hAnsi="Calibri" w:cs="Calibri"/>
                <w:color w:val="000000"/>
              </w:rPr>
            </w:pPr>
          </w:p>
        </w:tc>
        <w:tc>
          <w:tcPr>
            <w:tcW w:w="2700" w:type="dxa"/>
            <w:tcBorders>
              <w:top w:val="double" w:sz="6" w:space="0" w:color="auto"/>
              <w:left w:val="single" w:sz="4" w:space="0" w:color="auto"/>
              <w:bottom w:val="single" w:sz="8" w:space="0" w:color="auto"/>
              <w:right w:val="single" w:sz="4" w:space="0" w:color="auto"/>
            </w:tcBorders>
            <w:shd w:val="clear" w:color="auto" w:fill="auto"/>
            <w:vAlign w:val="bottom"/>
            <w:hideMark/>
          </w:tcPr>
          <w:p w14:paraId="2091678C" w14:textId="77777777" w:rsidR="00867849" w:rsidRPr="00867849" w:rsidRDefault="00867849" w:rsidP="00867849">
            <w:pPr>
              <w:spacing w:after="0" w:line="240" w:lineRule="auto"/>
              <w:rPr>
                <w:rFonts w:ascii="Calibri" w:eastAsia="Times New Roman" w:hAnsi="Calibri" w:cs="Calibri"/>
                <w:b/>
                <w:bCs/>
                <w:color w:val="000000"/>
                <w:sz w:val="18"/>
                <w:szCs w:val="18"/>
              </w:rPr>
            </w:pPr>
            <w:r w:rsidRPr="00867849">
              <w:rPr>
                <w:rFonts w:ascii="Calibri" w:eastAsia="Times New Roman" w:hAnsi="Calibri" w:cs="Calibri"/>
                <w:b/>
                <w:bCs/>
                <w:color w:val="000000"/>
                <w:sz w:val="18"/>
                <w:szCs w:val="18"/>
              </w:rPr>
              <w:t>Total Restricted Funds</w:t>
            </w:r>
          </w:p>
        </w:tc>
        <w:tc>
          <w:tcPr>
            <w:tcW w:w="2970" w:type="dxa"/>
            <w:tcBorders>
              <w:top w:val="nil"/>
              <w:left w:val="nil"/>
              <w:bottom w:val="nil"/>
              <w:right w:val="single" w:sz="8" w:space="0" w:color="auto"/>
            </w:tcBorders>
            <w:shd w:val="clear" w:color="auto" w:fill="auto"/>
            <w:noWrap/>
            <w:vAlign w:val="bottom"/>
            <w:hideMark/>
          </w:tcPr>
          <w:p w14:paraId="053E1B83"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24,813.54 </w:t>
            </w:r>
          </w:p>
        </w:tc>
      </w:tr>
      <w:tr w:rsidR="00867849" w:rsidRPr="00867849" w14:paraId="3DB60029" w14:textId="77777777" w:rsidTr="00867849">
        <w:trPr>
          <w:trHeight w:val="300"/>
        </w:trPr>
        <w:tc>
          <w:tcPr>
            <w:tcW w:w="9350"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5F6EEE3A" w14:textId="77777777" w:rsidR="00867849" w:rsidRPr="00867849" w:rsidRDefault="00867849" w:rsidP="00867849">
            <w:pPr>
              <w:spacing w:after="0" w:line="240" w:lineRule="auto"/>
              <w:jc w:val="center"/>
              <w:rPr>
                <w:rFonts w:ascii="Cambria" w:eastAsia="Times New Roman" w:hAnsi="Cambria" w:cs="Calibri"/>
                <w:b/>
                <w:bCs/>
                <w:color w:val="000000"/>
                <w:sz w:val="20"/>
                <w:szCs w:val="20"/>
              </w:rPr>
            </w:pPr>
            <w:r w:rsidRPr="00867849">
              <w:rPr>
                <w:rFonts w:ascii="Cambria" w:eastAsia="Times New Roman" w:hAnsi="Cambria" w:cs="Calibri"/>
                <w:b/>
                <w:bCs/>
                <w:color w:val="000000"/>
                <w:sz w:val="20"/>
                <w:szCs w:val="20"/>
              </w:rPr>
              <w:t>LID 2011-1 Bond Redemption Fund</w:t>
            </w:r>
          </w:p>
        </w:tc>
      </w:tr>
      <w:tr w:rsidR="00867849" w:rsidRPr="00867849" w14:paraId="1AE54BA6" w14:textId="77777777" w:rsidTr="00867849">
        <w:trPr>
          <w:trHeight w:val="300"/>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0A30FD9D"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Resource</w:t>
            </w:r>
          </w:p>
        </w:tc>
        <w:tc>
          <w:tcPr>
            <w:tcW w:w="1530" w:type="dxa"/>
            <w:tcBorders>
              <w:top w:val="nil"/>
              <w:left w:val="nil"/>
              <w:bottom w:val="single" w:sz="4" w:space="0" w:color="auto"/>
              <w:right w:val="single" w:sz="4" w:space="0" w:color="auto"/>
            </w:tcBorders>
            <w:shd w:val="clear" w:color="auto" w:fill="auto"/>
            <w:noWrap/>
            <w:vAlign w:val="bottom"/>
            <w:hideMark/>
          </w:tcPr>
          <w:p w14:paraId="147E25E9"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Ordinance</w:t>
            </w:r>
          </w:p>
        </w:tc>
        <w:tc>
          <w:tcPr>
            <w:tcW w:w="2700" w:type="dxa"/>
            <w:tcBorders>
              <w:top w:val="nil"/>
              <w:left w:val="nil"/>
              <w:bottom w:val="single" w:sz="4" w:space="0" w:color="auto"/>
              <w:right w:val="single" w:sz="4" w:space="0" w:color="auto"/>
            </w:tcBorders>
            <w:shd w:val="clear" w:color="auto" w:fill="auto"/>
            <w:vAlign w:val="bottom"/>
            <w:hideMark/>
          </w:tcPr>
          <w:p w14:paraId="46812620" w14:textId="77777777" w:rsidR="00867849" w:rsidRPr="00867849" w:rsidRDefault="00867849" w:rsidP="00867849">
            <w:pPr>
              <w:spacing w:after="0" w:line="240" w:lineRule="auto"/>
              <w:jc w:val="center"/>
              <w:rPr>
                <w:rFonts w:ascii="Calibri" w:eastAsia="Times New Roman" w:hAnsi="Calibri" w:cs="Calibri"/>
                <w:color w:val="000000"/>
                <w:sz w:val="18"/>
                <w:szCs w:val="18"/>
              </w:rPr>
            </w:pPr>
            <w:r w:rsidRPr="00867849">
              <w:rPr>
                <w:rFonts w:ascii="Calibri" w:eastAsia="Times New Roman" w:hAnsi="Calibri" w:cs="Calibri"/>
                <w:color w:val="000000"/>
                <w:sz w:val="18"/>
                <w:szCs w:val="18"/>
              </w:rPr>
              <w:t>Use</w:t>
            </w:r>
          </w:p>
        </w:tc>
        <w:tc>
          <w:tcPr>
            <w:tcW w:w="2970" w:type="dxa"/>
            <w:tcBorders>
              <w:top w:val="nil"/>
              <w:left w:val="nil"/>
              <w:bottom w:val="single" w:sz="4" w:space="0" w:color="auto"/>
              <w:right w:val="single" w:sz="8" w:space="0" w:color="auto"/>
            </w:tcBorders>
            <w:shd w:val="clear" w:color="auto" w:fill="auto"/>
            <w:noWrap/>
            <w:vAlign w:val="bottom"/>
            <w:hideMark/>
          </w:tcPr>
          <w:p w14:paraId="63A0623B"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 xml:space="preserve"> End Balance </w:t>
            </w:r>
          </w:p>
        </w:tc>
      </w:tr>
      <w:tr w:rsidR="00867849" w:rsidRPr="00867849" w14:paraId="00803B37" w14:textId="77777777" w:rsidTr="00867849">
        <w:trPr>
          <w:trHeight w:val="525"/>
        </w:trPr>
        <w:tc>
          <w:tcPr>
            <w:tcW w:w="2150" w:type="dxa"/>
            <w:tcBorders>
              <w:top w:val="nil"/>
              <w:left w:val="single" w:sz="8" w:space="0" w:color="auto"/>
              <w:bottom w:val="double" w:sz="6" w:space="0" w:color="auto"/>
              <w:right w:val="single" w:sz="4" w:space="0" w:color="auto"/>
            </w:tcBorders>
            <w:shd w:val="clear" w:color="auto" w:fill="auto"/>
            <w:vAlign w:val="center"/>
            <w:hideMark/>
          </w:tcPr>
          <w:p w14:paraId="6993ED74" w14:textId="77777777" w:rsidR="00867849" w:rsidRPr="00867849" w:rsidRDefault="00867849" w:rsidP="00867849">
            <w:pPr>
              <w:spacing w:after="0" w:line="240" w:lineRule="auto"/>
              <w:rPr>
                <w:rFonts w:ascii="Calibri" w:eastAsia="Times New Roman" w:hAnsi="Calibri" w:cs="Calibri"/>
                <w:sz w:val="20"/>
                <w:szCs w:val="20"/>
              </w:rPr>
            </w:pPr>
            <w:r w:rsidRPr="00867849">
              <w:rPr>
                <w:rFonts w:ascii="Calibri" w:eastAsia="Times New Roman" w:hAnsi="Calibri" w:cs="Calibri"/>
                <w:sz w:val="20"/>
                <w:szCs w:val="20"/>
              </w:rPr>
              <w:t>LID 2011-1 Assessments</w:t>
            </w:r>
          </w:p>
        </w:tc>
        <w:tc>
          <w:tcPr>
            <w:tcW w:w="1530" w:type="dxa"/>
            <w:tcBorders>
              <w:top w:val="nil"/>
              <w:left w:val="nil"/>
              <w:bottom w:val="double" w:sz="6" w:space="0" w:color="auto"/>
              <w:right w:val="single" w:sz="4" w:space="0" w:color="auto"/>
            </w:tcBorders>
            <w:shd w:val="clear" w:color="auto" w:fill="auto"/>
            <w:noWrap/>
            <w:vAlign w:val="bottom"/>
            <w:hideMark/>
          </w:tcPr>
          <w:p w14:paraId="6B096649" w14:textId="77777777" w:rsidR="00867849" w:rsidRPr="00867849" w:rsidRDefault="00867849" w:rsidP="00867849">
            <w:pPr>
              <w:spacing w:after="0" w:line="240" w:lineRule="auto"/>
              <w:jc w:val="center"/>
              <w:rPr>
                <w:rFonts w:ascii="Calibri" w:eastAsia="Times New Roman" w:hAnsi="Calibri" w:cs="Calibri"/>
                <w:sz w:val="20"/>
                <w:szCs w:val="20"/>
              </w:rPr>
            </w:pPr>
            <w:r w:rsidRPr="00867849">
              <w:rPr>
                <w:rFonts w:ascii="Calibri" w:eastAsia="Times New Roman" w:hAnsi="Calibri" w:cs="Calibri"/>
                <w:sz w:val="20"/>
                <w:szCs w:val="20"/>
              </w:rPr>
              <w:t>549</w:t>
            </w:r>
          </w:p>
        </w:tc>
        <w:tc>
          <w:tcPr>
            <w:tcW w:w="2700" w:type="dxa"/>
            <w:tcBorders>
              <w:top w:val="nil"/>
              <w:left w:val="nil"/>
              <w:bottom w:val="double" w:sz="6" w:space="0" w:color="auto"/>
              <w:right w:val="single" w:sz="4" w:space="0" w:color="auto"/>
            </w:tcBorders>
            <w:shd w:val="clear" w:color="auto" w:fill="auto"/>
            <w:noWrap/>
            <w:vAlign w:val="bottom"/>
            <w:hideMark/>
          </w:tcPr>
          <w:p w14:paraId="62A5F4FB" w14:textId="77777777" w:rsidR="00867849" w:rsidRPr="00867849" w:rsidRDefault="00867849" w:rsidP="00867849">
            <w:pPr>
              <w:spacing w:after="0" w:line="240" w:lineRule="auto"/>
              <w:rPr>
                <w:rFonts w:ascii="Calibri" w:eastAsia="Times New Roman" w:hAnsi="Calibri" w:cs="Calibri"/>
                <w:sz w:val="20"/>
                <w:szCs w:val="20"/>
              </w:rPr>
            </w:pPr>
            <w:r w:rsidRPr="00867849">
              <w:rPr>
                <w:rFonts w:ascii="Calibri" w:eastAsia="Times New Roman" w:hAnsi="Calibri" w:cs="Calibri"/>
                <w:sz w:val="20"/>
                <w:szCs w:val="20"/>
              </w:rPr>
              <w:t>DOH Loan Payments</w:t>
            </w:r>
          </w:p>
        </w:tc>
        <w:tc>
          <w:tcPr>
            <w:tcW w:w="2970" w:type="dxa"/>
            <w:tcBorders>
              <w:top w:val="nil"/>
              <w:left w:val="nil"/>
              <w:bottom w:val="double" w:sz="6" w:space="0" w:color="auto"/>
              <w:right w:val="single" w:sz="8" w:space="0" w:color="auto"/>
            </w:tcBorders>
            <w:shd w:val="clear" w:color="auto" w:fill="auto"/>
            <w:noWrap/>
            <w:vAlign w:val="bottom"/>
            <w:hideMark/>
          </w:tcPr>
          <w:p w14:paraId="13B421C5"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562,889.42 </w:t>
            </w:r>
          </w:p>
        </w:tc>
      </w:tr>
      <w:tr w:rsidR="00867849" w:rsidRPr="00867849" w14:paraId="6DDD6314" w14:textId="77777777" w:rsidTr="00867849">
        <w:trPr>
          <w:trHeight w:val="330"/>
        </w:trPr>
        <w:tc>
          <w:tcPr>
            <w:tcW w:w="2150" w:type="dxa"/>
            <w:tcBorders>
              <w:top w:val="nil"/>
              <w:left w:val="single" w:sz="8" w:space="0" w:color="auto"/>
              <w:bottom w:val="nil"/>
              <w:right w:val="nil"/>
            </w:tcBorders>
            <w:shd w:val="clear" w:color="auto" w:fill="auto"/>
            <w:noWrap/>
            <w:vAlign w:val="bottom"/>
            <w:hideMark/>
          </w:tcPr>
          <w:p w14:paraId="526C6CBE"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w:t>
            </w:r>
          </w:p>
        </w:tc>
        <w:tc>
          <w:tcPr>
            <w:tcW w:w="1530" w:type="dxa"/>
            <w:tcBorders>
              <w:top w:val="nil"/>
              <w:left w:val="nil"/>
              <w:bottom w:val="nil"/>
              <w:right w:val="nil"/>
            </w:tcBorders>
            <w:shd w:val="clear" w:color="auto" w:fill="auto"/>
            <w:noWrap/>
            <w:vAlign w:val="bottom"/>
            <w:hideMark/>
          </w:tcPr>
          <w:p w14:paraId="2494A4F8" w14:textId="77777777" w:rsidR="00867849" w:rsidRPr="00867849" w:rsidRDefault="00867849" w:rsidP="00867849">
            <w:pPr>
              <w:spacing w:after="0" w:line="240" w:lineRule="auto"/>
              <w:rPr>
                <w:rFonts w:ascii="Calibri" w:eastAsia="Times New Roman" w:hAnsi="Calibri" w:cs="Calibri"/>
                <w:color w:val="000000"/>
              </w:rPr>
            </w:pPr>
          </w:p>
        </w:tc>
        <w:tc>
          <w:tcPr>
            <w:tcW w:w="2700" w:type="dxa"/>
            <w:tcBorders>
              <w:top w:val="nil"/>
              <w:left w:val="single" w:sz="4" w:space="0" w:color="auto"/>
              <w:bottom w:val="single" w:sz="8" w:space="0" w:color="auto"/>
              <w:right w:val="single" w:sz="4" w:space="0" w:color="auto"/>
            </w:tcBorders>
            <w:shd w:val="clear" w:color="auto" w:fill="auto"/>
            <w:vAlign w:val="bottom"/>
            <w:hideMark/>
          </w:tcPr>
          <w:p w14:paraId="75898B44" w14:textId="77777777" w:rsidR="00867849" w:rsidRPr="00867849" w:rsidRDefault="00867849" w:rsidP="00867849">
            <w:pPr>
              <w:spacing w:after="0" w:line="240" w:lineRule="auto"/>
              <w:rPr>
                <w:rFonts w:ascii="Calibri" w:eastAsia="Times New Roman" w:hAnsi="Calibri" w:cs="Calibri"/>
                <w:b/>
                <w:bCs/>
                <w:color w:val="000000"/>
                <w:sz w:val="18"/>
                <w:szCs w:val="18"/>
              </w:rPr>
            </w:pPr>
            <w:r w:rsidRPr="00867849">
              <w:rPr>
                <w:rFonts w:ascii="Calibri" w:eastAsia="Times New Roman" w:hAnsi="Calibri" w:cs="Calibri"/>
                <w:b/>
                <w:bCs/>
                <w:color w:val="000000"/>
                <w:sz w:val="18"/>
                <w:szCs w:val="18"/>
              </w:rPr>
              <w:t>Total Restricted Funds</w:t>
            </w:r>
          </w:p>
        </w:tc>
        <w:tc>
          <w:tcPr>
            <w:tcW w:w="2970" w:type="dxa"/>
            <w:tcBorders>
              <w:top w:val="nil"/>
              <w:left w:val="nil"/>
              <w:bottom w:val="nil"/>
              <w:right w:val="single" w:sz="8" w:space="0" w:color="auto"/>
            </w:tcBorders>
            <w:shd w:val="clear" w:color="auto" w:fill="auto"/>
            <w:noWrap/>
            <w:vAlign w:val="bottom"/>
            <w:hideMark/>
          </w:tcPr>
          <w:p w14:paraId="38B0B35A"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562,889.42 </w:t>
            </w:r>
          </w:p>
        </w:tc>
      </w:tr>
      <w:tr w:rsidR="00867849" w:rsidRPr="00867849" w14:paraId="5D42BE59" w14:textId="77777777" w:rsidTr="00867849">
        <w:trPr>
          <w:trHeight w:val="300"/>
        </w:trPr>
        <w:tc>
          <w:tcPr>
            <w:tcW w:w="9350"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612ED8DF" w14:textId="77777777" w:rsidR="00867849" w:rsidRPr="00867849" w:rsidRDefault="00867849" w:rsidP="00867849">
            <w:pPr>
              <w:spacing w:after="0" w:line="240" w:lineRule="auto"/>
              <w:jc w:val="center"/>
              <w:rPr>
                <w:rFonts w:ascii="Cambria" w:eastAsia="Times New Roman" w:hAnsi="Cambria" w:cs="Calibri"/>
                <w:b/>
                <w:bCs/>
                <w:color w:val="000000"/>
                <w:sz w:val="20"/>
                <w:szCs w:val="20"/>
              </w:rPr>
            </w:pPr>
            <w:r w:rsidRPr="00867849">
              <w:rPr>
                <w:rFonts w:ascii="Cambria" w:eastAsia="Times New Roman" w:hAnsi="Cambria" w:cs="Calibri"/>
                <w:b/>
                <w:bCs/>
                <w:color w:val="000000"/>
                <w:sz w:val="20"/>
                <w:szCs w:val="20"/>
              </w:rPr>
              <w:t>Unemployment Compensation Fund</w:t>
            </w:r>
          </w:p>
        </w:tc>
      </w:tr>
      <w:tr w:rsidR="00867849" w:rsidRPr="00867849" w14:paraId="14FE1D08" w14:textId="77777777" w:rsidTr="00867849">
        <w:trPr>
          <w:trHeight w:val="300"/>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648D4647"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Resource</w:t>
            </w:r>
          </w:p>
        </w:tc>
        <w:tc>
          <w:tcPr>
            <w:tcW w:w="1530" w:type="dxa"/>
            <w:tcBorders>
              <w:top w:val="nil"/>
              <w:left w:val="nil"/>
              <w:bottom w:val="single" w:sz="4" w:space="0" w:color="auto"/>
              <w:right w:val="single" w:sz="4" w:space="0" w:color="auto"/>
            </w:tcBorders>
            <w:shd w:val="clear" w:color="auto" w:fill="auto"/>
            <w:noWrap/>
            <w:vAlign w:val="bottom"/>
            <w:hideMark/>
          </w:tcPr>
          <w:p w14:paraId="1ACE0BDB"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Ordinance</w:t>
            </w:r>
          </w:p>
        </w:tc>
        <w:tc>
          <w:tcPr>
            <w:tcW w:w="2700" w:type="dxa"/>
            <w:tcBorders>
              <w:top w:val="nil"/>
              <w:left w:val="nil"/>
              <w:bottom w:val="single" w:sz="4" w:space="0" w:color="auto"/>
              <w:right w:val="single" w:sz="4" w:space="0" w:color="auto"/>
            </w:tcBorders>
            <w:shd w:val="clear" w:color="auto" w:fill="auto"/>
            <w:vAlign w:val="bottom"/>
            <w:hideMark/>
          </w:tcPr>
          <w:p w14:paraId="6DA97FE9" w14:textId="77777777" w:rsidR="00867849" w:rsidRPr="00867849" w:rsidRDefault="00867849" w:rsidP="00867849">
            <w:pPr>
              <w:spacing w:after="0" w:line="240" w:lineRule="auto"/>
              <w:jc w:val="center"/>
              <w:rPr>
                <w:rFonts w:ascii="Calibri" w:eastAsia="Times New Roman" w:hAnsi="Calibri" w:cs="Calibri"/>
                <w:color w:val="000000"/>
                <w:sz w:val="18"/>
                <w:szCs w:val="18"/>
              </w:rPr>
            </w:pPr>
            <w:r w:rsidRPr="00867849">
              <w:rPr>
                <w:rFonts w:ascii="Calibri" w:eastAsia="Times New Roman" w:hAnsi="Calibri" w:cs="Calibri"/>
                <w:color w:val="000000"/>
                <w:sz w:val="18"/>
                <w:szCs w:val="18"/>
              </w:rPr>
              <w:t>Use</w:t>
            </w:r>
          </w:p>
        </w:tc>
        <w:tc>
          <w:tcPr>
            <w:tcW w:w="2970" w:type="dxa"/>
            <w:tcBorders>
              <w:top w:val="nil"/>
              <w:left w:val="nil"/>
              <w:bottom w:val="single" w:sz="4" w:space="0" w:color="auto"/>
              <w:right w:val="single" w:sz="8" w:space="0" w:color="auto"/>
            </w:tcBorders>
            <w:shd w:val="clear" w:color="auto" w:fill="auto"/>
            <w:noWrap/>
            <w:vAlign w:val="bottom"/>
            <w:hideMark/>
          </w:tcPr>
          <w:p w14:paraId="1A9D060F"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 xml:space="preserve"> End Balance </w:t>
            </w:r>
          </w:p>
        </w:tc>
      </w:tr>
      <w:tr w:rsidR="00867849" w:rsidRPr="00867849" w14:paraId="34654F2C" w14:textId="77777777" w:rsidTr="00867849">
        <w:trPr>
          <w:trHeight w:val="795"/>
        </w:trPr>
        <w:tc>
          <w:tcPr>
            <w:tcW w:w="2150" w:type="dxa"/>
            <w:tcBorders>
              <w:top w:val="nil"/>
              <w:left w:val="single" w:sz="8" w:space="0" w:color="auto"/>
              <w:bottom w:val="double" w:sz="6" w:space="0" w:color="auto"/>
              <w:right w:val="single" w:sz="4" w:space="0" w:color="auto"/>
            </w:tcBorders>
            <w:shd w:val="clear" w:color="auto" w:fill="auto"/>
            <w:vAlign w:val="bottom"/>
            <w:hideMark/>
          </w:tcPr>
          <w:p w14:paraId="73AC7C7E"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Transfers from General, Street, Water, Sewer</w:t>
            </w:r>
          </w:p>
        </w:tc>
        <w:tc>
          <w:tcPr>
            <w:tcW w:w="1530" w:type="dxa"/>
            <w:tcBorders>
              <w:top w:val="nil"/>
              <w:left w:val="nil"/>
              <w:bottom w:val="double" w:sz="6" w:space="0" w:color="auto"/>
              <w:right w:val="single" w:sz="4" w:space="0" w:color="auto"/>
            </w:tcBorders>
            <w:shd w:val="clear" w:color="auto" w:fill="auto"/>
            <w:noWrap/>
            <w:vAlign w:val="bottom"/>
            <w:hideMark/>
          </w:tcPr>
          <w:p w14:paraId="3B30DDA4"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609</w:t>
            </w:r>
          </w:p>
        </w:tc>
        <w:tc>
          <w:tcPr>
            <w:tcW w:w="2700" w:type="dxa"/>
            <w:tcBorders>
              <w:top w:val="nil"/>
              <w:left w:val="nil"/>
              <w:bottom w:val="double" w:sz="6" w:space="0" w:color="auto"/>
              <w:right w:val="single" w:sz="4" w:space="0" w:color="auto"/>
            </w:tcBorders>
            <w:shd w:val="clear" w:color="auto" w:fill="auto"/>
            <w:vAlign w:val="center"/>
            <w:hideMark/>
          </w:tcPr>
          <w:p w14:paraId="5CB3BDC2" w14:textId="77777777" w:rsidR="00867849" w:rsidRPr="00867849" w:rsidRDefault="00867849" w:rsidP="00867849">
            <w:pPr>
              <w:spacing w:after="0" w:line="240" w:lineRule="auto"/>
              <w:rPr>
                <w:rFonts w:ascii="Calibri" w:eastAsia="Times New Roman" w:hAnsi="Calibri" w:cs="Calibri"/>
                <w:color w:val="000000"/>
                <w:sz w:val="18"/>
                <w:szCs w:val="18"/>
              </w:rPr>
            </w:pPr>
            <w:proofErr w:type="spellStart"/>
            <w:r w:rsidRPr="00867849">
              <w:rPr>
                <w:rFonts w:ascii="Calibri" w:eastAsia="Times New Roman" w:hAnsi="Calibri" w:cs="Calibri"/>
                <w:color w:val="000000"/>
                <w:sz w:val="18"/>
                <w:szCs w:val="18"/>
              </w:rPr>
              <w:t>Self Insured</w:t>
            </w:r>
            <w:proofErr w:type="spellEnd"/>
            <w:r w:rsidRPr="00867849">
              <w:rPr>
                <w:rFonts w:ascii="Calibri" w:eastAsia="Times New Roman" w:hAnsi="Calibri" w:cs="Calibri"/>
                <w:color w:val="000000"/>
                <w:sz w:val="18"/>
                <w:szCs w:val="18"/>
              </w:rPr>
              <w:t xml:space="preserve"> Liability Unemployment Compensation</w:t>
            </w:r>
          </w:p>
        </w:tc>
        <w:tc>
          <w:tcPr>
            <w:tcW w:w="2970" w:type="dxa"/>
            <w:tcBorders>
              <w:top w:val="nil"/>
              <w:left w:val="nil"/>
              <w:bottom w:val="double" w:sz="6" w:space="0" w:color="auto"/>
              <w:right w:val="single" w:sz="8" w:space="0" w:color="auto"/>
            </w:tcBorders>
            <w:shd w:val="clear" w:color="auto" w:fill="auto"/>
            <w:noWrap/>
            <w:vAlign w:val="bottom"/>
            <w:hideMark/>
          </w:tcPr>
          <w:p w14:paraId="7683ABDE"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34,836.47 </w:t>
            </w:r>
          </w:p>
        </w:tc>
      </w:tr>
      <w:tr w:rsidR="00867849" w:rsidRPr="00867849" w14:paraId="051A3305" w14:textId="77777777" w:rsidTr="00867849">
        <w:trPr>
          <w:trHeight w:val="330"/>
        </w:trPr>
        <w:tc>
          <w:tcPr>
            <w:tcW w:w="2150" w:type="dxa"/>
            <w:tcBorders>
              <w:top w:val="nil"/>
              <w:left w:val="single" w:sz="8" w:space="0" w:color="auto"/>
              <w:bottom w:val="nil"/>
              <w:right w:val="nil"/>
            </w:tcBorders>
            <w:shd w:val="clear" w:color="auto" w:fill="auto"/>
            <w:noWrap/>
            <w:vAlign w:val="bottom"/>
            <w:hideMark/>
          </w:tcPr>
          <w:p w14:paraId="2D9B17A3"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w:t>
            </w:r>
          </w:p>
        </w:tc>
        <w:tc>
          <w:tcPr>
            <w:tcW w:w="1530" w:type="dxa"/>
            <w:tcBorders>
              <w:top w:val="nil"/>
              <w:left w:val="nil"/>
              <w:bottom w:val="nil"/>
              <w:right w:val="nil"/>
            </w:tcBorders>
            <w:shd w:val="clear" w:color="auto" w:fill="auto"/>
            <w:noWrap/>
            <w:vAlign w:val="bottom"/>
            <w:hideMark/>
          </w:tcPr>
          <w:p w14:paraId="31E69B16" w14:textId="77777777" w:rsidR="00867849" w:rsidRPr="00867849" w:rsidRDefault="00867849" w:rsidP="00867849">
            <w:pPr>
              <w:spacing w:after="0" w:line="240" w:lineRule="auto"/>
              <w:rPr>
                <w:rFonts w:ascii="Calibri" w:eastAsia="Times New Roman" w:hAnsi="Calibri" w:cs="Calibri"/>
                <w:color w:val="000000"/>
              </w:rPr>
            </w:pPr>
          </w:p>
        </w:tc>
        <w:tc>
          <w:tcPr>
            <w:tcW w:w="2700" w:type="dxa"/>
            <w:tcBorders>
              <w:top w:val="nil"/>
              <w:left w:val="single" w:sz="4" w:space="0" w:color="auto"/>
              <w:bottom w:val="single" w:sz="8" w:space="0" w:color="auto"/>
              <w:right w:val="single" w:sz="4" w:space="0" w:color="auto"/>
            </w:tcBorders>
            <w:shd w:val="clear" w:color="auto" w:fill="auto"/>
            <w:vAlign w:val="bottom"/>
            <w:hideMark/>
          </w:tcPr>
          <w:p w14:paraId="76D870C8" w14:textId="77777777" w:rsidR="00867849" w:rsidRPr="00867849" w:rsidRDefault="00867849" w:rsidP="00867849">
            <w:pPr>
              <w:spacing w:after="0" w:line="240" w:lineRule="auto"/>
              <w:rPr>
                <w:rFonts w:ascii="Calibri" w:eastAsia="Times New Roman" w:hAnsi="Calibri" w:cs="Calibri"/>
                <w:b/>
                <w:bCs/>
                <w:color w:val="000000"/>
                <w:sz w:val="18"/>
                <w:szCs w:val="18"/>
              </w:rPr>
            </w:pPr>
            <w:r w:rsidRPr="00867849">
              <w:rPr>
                <w:rFonts w:ascii="Calibri" w:eastAsia="Times New Roman" w:hAnsi="Calibri" w:cs="Calibri"/>
                <w:b/>
                <w:bCs/>
                <w:color w:val="000000"/>
                <w:sz w:val="18"/>
                <w:szCs w:val="18"/>
              </w:rPr>
              <w:t>Total Restricted Funds</w:t>
            </w:r>
          </w:p>
        </w:tc>
        <w:tc>
          <w:tcPr>
            <w:tcW w:w="2970" w:type="dxa"/>
            <w:tcBorders>
              <w:top w:val="nil"/>
              <w:left w:val="nil"/>
              <w:bottom w:val="nil"/>
              <w:right w:val="single" w:sz="8" w:space="0" w:color="auto"/>
            </w:tcBorders>
            <w:shd w:val="clear" w:color="auto" w:fill="auto"/>
            <w:noWrap/>
            <w:vAlign w:val="bottom"/>
            <w:hideMark/>
          </w:tcPr>
          <w:p w14:paraId="686BA808"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34,836.47 </w:t>
            </w:r>
          </w:p>
        </w:tc>
      </w:tr>
      <w:tr w:rsidR="00867849" w:rsidRPr="00867849" w14:paraId="553FF5AA" w14:textId="77777777" w:rsidTr="00867849">
        <w:trPr>
          <w:trHeight w:val="300"/>
        </w:trPr>
        <w:tc>
          <w:tcPr>
            <w:tcW w:w="9350"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592400CF" w14:textId="77777777" w:rsidR="00867849" w:rsidRPr="00867849" w:rsidRDefault="00867849" w:rsidP="00867849">
            <w:pPr>
              <w:spacing w:after="0" w:line="240" w:lineRule="auto"/>
              <w:jc w:val="center"/>
              <w:rPr>
                <w:rFonts w:ascii="Cambria" w:eastAsia="Times New Roman" w:hAnsi="Cambria" w:cs="Calibri"/>
                <w:b/>
                <w:bCs/>
                <w:color w:val="000000"/>
                <w:sz w:val="20"/>
                <w:szCs w:val="20"/>
              </w:rPr>
            </w:pPr>
            <w:r w:rsidRPr="00867849">
              <w:rPr>
                <w:rFonts w:ascii="Cambria" w:eastAsia="Times New Roman" w:hAnsi="Cambria" w:cs="Calibri"/>
                <w:b/>
                <w:bCs/>
                <w:color w:val="000000"/>
                <w:sz w:val="20"/>
                <w:szCs w:val="20"/>
              </w:rPr>
              <w:t>Agency Fund - Non-spendable Donation</w:t>
            </w:r>
          </w:p>
        </w:tc>
      </w:tr>
      <w:tr w:rsidR="00867849" w:rsidRPr="00867849" w14:paraId="3CB7B702" w14:textId="77777777" w:rsidTr="00867849">
        <w:trPr>
          <w:trHeight w:val="300"/>
        </w:trPr>
        <w:tc>
          <w:tcPr>
            <w:tcW w:w="2150" w:type="dxa"/>
            <w:tcBorders>
              <w:top w:val="nil"/>
              <w:left w:val="single" w:sz="8" w:space="0" w:color="auto"/>
              <w:bottom w:val="single" w:sz="4" w:space="0" w:color="auto"/>
              <w:right w:val="single" w:sz="4" w:space="0" w:color="auto"/>
            </w:tcBorders>
            <w:shd w:val="clear" w:color="auto" w:fill="auto"/>
            <w:vAlign w:val="bottom"/>
            <w:hideMark/>
          </w:tcPr>
          <w:p w14:paraId="11C06D40"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Resource</w:t>
            </w:r>
          </w:p>
        </w:tc>
        <w:tc>
          <w:tcPr>
            <w:tcW w:w="1530" w:type="dxa"/>
            <w:tcBorders>
              <w:top w:val="nil"/>
              <w:left w:val="nil"/>
              <w:bottom w:val="single" w:sz="4" w:space="0" w:color="auto"/>
              <w:right w:val="single" w:sz="4" w:space="0" w:color="auto"/>
            </w:tcBorders>
            <w:shd w:val="clear" w:color="auto" w:fill="auto"/>
            <w:noWrap/>
            <w:vAlign w:val="bottom"/>
            <w:hideMark/>
          </w:tcPr>
          <w:p w14:paraId="1E2BF8B5"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Donation</w:t>
            </w:r>
          </w:p>
        </w:tc>
        <w:tc>
          <w:tcPr>
            <w:tcW w:w="2700" w:type="dxa"/>
            <w:tcBorders>
              <w:top w:val="nil"/>
              <w:left w:val="nil"/>
              <w:bottom w:val="single" w:sz="4" w:space="0" w:color="auto"/>
              <w:right w:val="single" w:sz="4" w:space="0" w:color="auto"/>
            </w:tcBorders>
            <w:shd w:val="clear" w:color="auto" w:fill="auto"/>
            <w:vAlign w:val="bottom"/>
            <w:hideMark/>
          </w:tcPr>
          <w:p w14:paraId="17F10409" w14:textId="77777777" w:rsidR="00867849" w:rsidRPr="00867849" w:rsidRDefault="00867849" w:rsidP="00867849">
            <w:pPr>
              <w:spacing w:after="0" w:line="240" w:lineRule="auto"/>
              <w:jc w:val="center"/>
              <w:rPr>
                <w:rFonts w:ascii="Calibri" w:eastAsia="Times New Roman" w:hAnsi="Calibri" w:cs="Calibri"/>
                <w:color w:val="000000"/>
                <w:sz w:val="18"/>
                <w:szCs w:val="18"/>
              </w:rPr>
            </w:pPr>
            <w:r w:rsidRPr="00867849">
              <w:rPr>
                <w:rFonts w:ascii="Calibri" w:eastAsia="Times New Roman" w:hAnsi="Calibri" w:cs="Calibri"/>
                <w:color w:val="000000"/>
                <w:sz w:val="18"/>
                <w:szCs w:val="18"/>
              </w:rPr>
              <w:t>Use</w:t>
            </w:r>
          </w:p>
        </w:tc>
        <w:tc>
          <w:tcPr>
            <w:tcW w:w="2970" w:type="dxa"/>
            <w:tcBorders>
              <w:top w:val="nil"/>
              <w:left w:val="nil"/>
              <w:bottom w:val="single" w:sz="4" w:space="0" w:color="auto"/>
              <w:right w:val="single" w:sz="8" w:space="0" w:color="auto"/>
            </w:tcBorders>
            <w:shd w:val="clear" w:color="auto" w:fill="auto"/>
            <w:noWrap/>
            <w:vAlign w:val="bottom"/>
            <w:hideMark/>
          </w:tcPr>
          <w:p w14:paraId="14347D4D"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 xml:space="preserve"> End Balance </w:t>
            </w:r>
          </w:p>
        </w:tc>
      </w:tr>
      <w:tr w:rsidR="00867849" w:rsidRPr="00867849" w14:paraId="239C17BA" w14:textId="77777777" w:rsidTr="00867849">
        <w:trPr>
          <w:trHeight w:val="495"/>
        </w:trPr>
        <w:tc>
          <w:tcPr>
            <w:tcW w:w="2150" w:type="dxa"/>
            <w:tcBorders>
              <w:top w:val="nil"/>
              <w:left w:val="single" w:sz="8" w:space="0" w:color="auto"/>
              <w:bottom w:val="double" w:sz="6" w:space="0" w:color="auto"/>
              <w:right w:val="single" w:sz="4" w:space="0" w:color="auto"/>
            </w:tcBorders>
            <w:shd w:val="clear" w:color="auto" w:fill="auto"/>
            <w:vAlign w:val="bottom"/>
            <w:hideMark/>
          </w:tcPr>
          <w:p w14:paraId="6EF49EDE" w14:textId="77777777" w:rsidR="00867849" w:rsidRPr="00867849" w:rsidRDefault="00867849" w:rsidP="00867849">
            <w:pPr>
              <w:spacing w:after="0" w:line="240" w:lineRule="auto"/>
              <w:rPr>
                <w:rFonts w:ascii="Calibri" w:eastAsia="Times New Roman" w:hAnsi="Calibri" w:cs="Calibri"/>
                <w:color w:val="000000"/>
                <w:sz w:val="20"/>
                <w:szCs w:val="20"/>
              </w:rPr>
            </w:pPr>
            <w:r w:rsidRPr="00867849">
              <w:rPr>
                <w:rFonts w:ascii="Calibri" w:eastAsia="Times New Roman" w:hAnsi="Calibri" w:cs="Calibri"/>
                <w:color w:val="000000"/>
                <w:sz w:val="20"/>
                <w:szCs w:val="20"/>
              </w:rPr>
              <w:t>NYB Deposit</w:t>
            </w:r>
          </w:p>
        </w:tc>
        <w:tc>
          <w:tcPr>
            <w:tcW w:w="1530" w:type="dxa"/>
            <w:tcBorders>
              <w:top w:val="nil"/>
              <w:left w:val="nil"/>
              <w:bottom w:val="double" w:sz="6" w:space="0" w:color="auto"/>
              <w:right w:val="single" w:sz="4" w:space="0" w:color="auto"/>
            </w:tcBorders>
            <w:shd w:val="clear" w:color="000000" w:fill="D8E4BC"/>
            <w:noWrap/>
            <w:vAlign w:val="bottom"/>
            <w:hideMark/>
          </w:tcPr>
          <w:p w14:paraId="397F8E01" w14:textId="77777777" w:rsidR="00867849" w:rsidRPr="00867849" w:rsidRDefault="00867849" w:rsidP="00867849">
            <w:pPr>
              <w:spacing w:after="0" w:line="240" w:lineRule="auto"/>
              <w:jc w:val="center"/>
              <w:rPr>
                <w:rFonts w:ascii="Calibri" w:eastAsia="Times New Roman" w:hAnsi="Calibri" w:cs="Calibri"/>
                <w:color w:val="000000"/>
                <w:sz w:val="20"/>
                <w:szCs w:val="20"/>
              </w:rPr>
            </w:pPr>
            <w:r w:rsidRPr="00867849">
              <w:rPr>
                <w:rFonts w:ascii="Calibri" w:eastAsia="Times New Roman" w:hAnsi="Calibri" w:cs="Calibri"/>
                <w:color w:val="000000"/>
                <w:sz w:val="20"/>
                <w:szCs w:val="20"/>
              </w:rPr>
              <w:t>Donation</w:t>
            </w:r>
          </w:p>
        </w:tc>
        <w:tc>
          <w:tcPr>
            <w:tcW w:w="2700" w:type="dxa"/>
            <w:tcBorders>
              <w:top w:val="nil"/>
              <w:left w:val="nil"/>
              <w:bottom w:val="double" w:sz="6" w:space="0" w:color="auto"/>
              <w:right w:val="single" w:sz="4" w:space="0" w:color="auto"/>
            </w:tcBorders>
            <w:shd w:val="clear" w:color="auto" w:fill="auto"/>
            <w:vAlign w:val="center"/>
            <w:hideMark/>
          </w:tcPr>
          <w:p w14:paraId="6D7790CE" w14:textId="77777777" w:rsidR="00867849" w:rsidRPr="00867849" w:rsidRDefault="00867849" w:rsidP="00867849">
            <w:pPr>
              <w:spacing w:after="0" w:line="240" w:lineRule="auto"/>
              <w:rPr>
                <w:rFonts w:ascii="Calibri" w:eastAsia="Times New Roman" w:hAnsi="Calibri" w:cs="Calibri"/>
                <w:color w:val="000000"/>
                <w:sz w:val="18"/>
                <w:szCs w:val="18"/>
              </w:rPr>
            </w:pPr>
            <w:r w:rsidRPr="00867849">
              <w:rPr>
                <w:rFonts w:ascii="Calibri" w:eastAsia="Times New Roman" w:hAnsi="Calibri" w:cs="Calibri"/>
                <w:color w:val="000000"/>
                <w:sz w:val="18"/>
                <w:szCs w:val="18"/>
              </w:rPr>
              <w:t>Damage/Electric/Key Deposit</w:t>
            </w:r>
          </w:p>
        </w:tc>
        <w:tc>
          <w:tcPr>
            <w:tcW w:w="2970" w:type="dxa"/>
            <w:tcBorders>
              <w:top w:val="nil"/>
              <w:left w:val="nil"/>
              <w:bottom w:val="double" w:sz="6" w:space="0" w:color="auto"/>
              <w:right w:val="single" w:sz="8" w:space="0" w:color="auto"/>
            </w:tcBorders>
            <w:shd w:val="clear" w:color="auto" w:fill="auto"/>
            <w:noWrap/>
            <w:vAlign w:val="bottom"/>
            <w:hideMark/>
          </w:tcPr>
          <w:p w14:paraId="1EFB23E0"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750.00 </w:t>
            </w:r>
          </w:p>
        </w:tc>
      </w:tr>
      <w:tr w:rsidR="00867849" w:rsidRPr="00867849" w14:paraId="1E7D6F19" w14:textId="77777777" w:rsidTr="00867849">
        <w:trPr>
          <w:trHeight w:val="330"/>
        </w:trPr>
        <w:tc>
          <w:tcPr>
            <w:tcW w:w="2150" w:type="dxa"/>
            <w:tcBorders>
              <w:top w:val="nil"/>
              <w:left w:val="single" w:sz="8" w:space="0" w:color="auto"/>
              <w:bottom w:val="single" w:sz="8" w:space="0" w:color="auto"/>
              <w:right w:val="nil"/>
            </w:tcBorders>
            <w:shd w:val="clear" w:color="auto" w:fill="auto"/>
            <w:noWrap/>
            <w:vAlign w:val="bottom"/>
            <w:hideMark/>
          </w:tcPr>
          <w:p w14:paraId="3646FBC2"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w:t>
            </w:r>
          </w:p>
        </w:tc>
        <w:tc>
          <w:tcPr>
            <w:tcW w:w="1530" w:type="dxa"/>
            <w:tcBorders>
              <w:top w:val="nil"/>
              <w:left w:val="nil"/>
              <w:bottom w:val="single" w:sz="8" w:space="0" w:color="auto"/>
              <w:right w:val="nil"/>
            </w:tcBorders>
            <w:shd w:val="clear" w:color="auto" w:fill="auto"/>
            <w:noWrap/>
            <w:vAlign w:val="bottom"/>
            <w:hideMark/>
          </w:tcPr>
          <w:p w14:paraId="5C351C5D"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w:t>
            </w:r>
          </w:p>
        </w:tc>
        <w:tc>
          <w:tcPr>
            <w:tcW w:w="2700" w:type="dxa"/>
            <w:tcBorders>
              <w:top w:val="nil"/>
              <w:left w:val="single" w:sz="4" w:space="0" w:color="auto"/>
              <w:bottom w:val="single" w:sz="8" w:space="0" w:color="auto"/>
              <w:right w:val="single" w:sz="4" w:space="0" w:color="auto"/>
            </w:tcBorders>
            <w:shd w:val="clear" w:color="auto" w:fill="auto"/>
            <w:vAlign w:val="bottom"/>
            <w:hideMark/>
          </w:tcPr>
          <w:p w14:paraId="7C8E0249" w14:textId="77777777" w:rsidR="00867849" w:rsidRPr="00867849" w:rsidRDefault="00867849" w:rsidP="00867849">
            <w:pPr>
              <w:spacing w:after="0" w:line="240" w:lineRule="auto"/>
              <w:rPr>
                <w:rFonts w:ascii="Calibri" w:eastAsia="Times New Roman" w:hAnsi="Calibri" w:cs="Calibri"/>
                <w:b/>
                <w:bCs/>
                <w:color w:val="000000"/>
                <w:sz w:val="18"/>
                <w:szCs w:val="18"/>
              </w:rPr>
            </w:pPr>
            <w:r w:rsidRPr="00867849">
              <w:rPr>
                <w:rFonts w:ascii="Calibri" w:eastAsia="Times New Roman" w:hAnsi="Calibri" w:cs="Calibri"/>
                <w:b/>
                <w:bCs/>
                <w:color w:val="000000"/>
                <w:sz w:val="18"/>
                <w:szCs w:val="18"/>
              </w:rPr>
              <w:t>Total Restricted Funds</w:t>
            </w:r>
          </w:p>
        </w:tc>
        <w:tc>
          <w:tcPr>
            <w:tcW w:w="2970" w:type="dxa"/>
            <w:tcBorders>
              <w:top w:val="nil"/>
              <w:left w:val="nil"/>
              <w:bottom w:val="single" w:sz="8" w:space="0" w:color="auto"/>
              <w:right w:val="single" w:sz="8" w:space="0" w:color="auto"/>
            </w:tcBorders>
            <w:shd w:val="clear" w:color="auto" w:fill="auto"/>
            <w:noWrap/>
            <w:vAlign w:val="bottom"/>
            <w:hideMark/>
          </w:tcPr>
          <w:p w14:paraId="6EFA96F0" w14:textId="77777777" w:rsidR="00867849" w:rsidRPr="00867849" w:rsidRDefault="00867849" w:rsidP="00867849">
            <w:pPr>
              <w:spacing w:after="0" w:line="240" w:lineRule="auto"/>
              <w:rPr>
                <w:rFonts w:ascii="Calibri" w:eastAsia="Times New Roman" w:hAnsi="Calibri" w:cs="Calibri"/>
                <w:color w:val="000000"/>
              </w:rPr>
            </w:pPr>
            <w:r w:rsidRPr="00867849">
              <w:rPr>
                <w:rFonts w:ascii="Calibri" w:eastAsia="Times New Roman" w:hAnsi="Calibri" w:cs="Calibri"/>
                <w:color w:val="000000"/>
              </w:rPr>
              <w:t xml:space="preserve">                    750.00 </w:t>
            </w:r>
          </w:p>
        </w:tc>
      </w:tr>
    </w:tbl>
    <w:p w14:paraId="46AF7458" w14:textId="77777777" w:rsidR="00867849" w:rsidRDefault="00867849" w:rsidP="00646E37">
      <w:pPr>
        <w:shd w:val="clear" w:color="auto" w:fill="FEFEFE"/>
        <w:spacing w:after="0" w:line="240" w:lineRule="auto"/>
        <w:jc w:val="both"/>
        <w:rPr>
          <w:rFonts w:ascii="Cambria" w:eastAsia="Times New Roman" w:hAnsi="Cambria" w:cstheme="minorHAnsi"/>
          <w:color w:val="444444"/>
        </w:rPr>
      </w:pPr>
    </w:p>
    <w:p w14:paraId="6468DADD" w14:textId="77777777" w:rsidR="00867849" w:rsidRDefault="00867849" w:rsidP="00646E37">
      <w:pPr>
        <w:shd w:val="clear" w:color="auto" w:fill="FEFEFE"/>
        <w:spacing w:after="0" w:line="240" w:lineRule="auto"/>
        <w:jc w:val="both"/>
        <w:rPr>
          <w:rFonts w:ascii="Cambria" w:eastAsia="Times New Roman" w:hAnsi="Cambria" w:cstheme="minorHAnsi"/>
          <w:color w:val="444444"/>
        </w:rPr>
      </w:pPr>
    </w:p>
    <w:p w14:paraId="33893769" w14:textId="77777777" w:rsidR="00867849" w:rsidRDefault="00867849" w:rsidP="00646E37">
      <w:pPr>
        <w:shd w:val="clear" w:color="auto" w:fill="FEFEFE"/>
        <w:spacing w:after="0" w:line="240" w:lineRule="auto"/>
        <w:jc w:val="both"/>
        <w:rPr>
          <w:rFonts w:ascii="Cambria" w:eastAsia="Times New Roman" w:hAnsi="Cambria" w:cstheme="minorHAnsi"/>
          <w:color w:val="444444"/>
        </w:rPr>
      </w:pPr>
    </w:p>
    <w:p w14:paraId="7CCB2A97" w14:textId="77777777" w:rsidR="00867849" w:rsidRDefault="00867849" w:rsidP="00646E37">
      <w:pPr>
        <w:shd w:val="clear" w:color="auto" w:fill="FEFEFE"/>
        <w:spacing w:after="0" w:line="240" w:lineRule="auto"/>
        <w:jc w:val="both"/>
        <w:rPr>
          <w:rFonts w:ascii="Cambria" w:eastAsia="Times New Roman" w:hAnsi="Cambria" w:cstheme="minorHAnsi"/>
          <w:color w:val="444444"/>
        </w:rPr>
      </w:pPr>
    </w:p>
    <w:p w14:paraId="109D65ED" w14:textId="77777777" w:rsidR="00867849" w:rsidRDefault="00867849" w:rsidP="00646E37">
      <w:pPr>
        <w:shd w:val="clear" w:color="auto" w:fill="FEFEFE"/>
        <w:spacing w:after="0" w:line="240" w:lineRule="auto"/>
        <w:jc w:val="both"/>
        <w:rPr>
          <w:rFonts w:ascii="Cambria" w:eastAsia="Times New Roman" w:hAnsi="Cambria" w:cstheme="minorHAnsi"/>
          <w:color w:val="444444"/>
        </w:rPr>
      </w:pPr>
    </w:p>
    <w:p w14:paraId="3EE4B657" w14:textId="77777777" w:rsidR="00867849" w:rsidRDefault="00867849" w:rsidP="00646E37">
      <w:pPr>
        <w:shd w:val="clear" w:color="auto" w:fill="FEFEFE"/>
        <w:spacing w:after="0" w:line="240" w:lineRule="auto"/>
        <w:jc w:val="both"/>
        <w:rPr>
          <w:rFonts w:ascii="Cambria" w:eastAsia="Times New Roman" w:hAnsi="Cambria" w:cstheme="minorHAnsi"/>
          <w:color w:val="444444"/>
        </w:rPr>
      </w:pPr>
    </w:p>
    <w:p w14:paraId="5192AAC4" w14:textId="77777777" w:rsidR="00867849" w:rsidRDefault="00867849" w:rsidP="00646E37">
      <w:pPr>
        <w:shd w:val="clear" w:color="auto" w:fill="FEFEFE"/>
        <w:spacing w:after="0" w:line="240" w:lineRule="auto"/>
        <w:jc w:val="both"/>
        <w:rPr>
          <w:rFonts w:ascii="Cambria" w:eastAsia="Times New Roman" w:hAnsi="Cambria" w:cstheme="minorHAnsi"/>
          <w:color w:val="444444"/>
        </w:rPr>
      </w:pPr>
    </w:p>
    <w:p w14:paraId="5C818A25" w14:textId="77777777" w:rsidR="00867849" w:rsidRDefault="00867849" w:rsidP="00646E37">
      <w:pPr>
        <w:shd w:val="clear" w:color="auto" w:fill="FEFEFE"/>
        <w:spacing w:after="0" w:line="240" w:lineRule="auto"/>
        <w:jc w:val="both"/>
        <w:rPr>
          <w:rFonts w:ascii="Cambria" w:eastAsia="Times New Roman" w:hAnsi="Cambria" w:cstheme="minorHAnsi"/>
          <w:color w:val="444444"/>
        </w:rPr>
      </w:pPr>
    </w:p>
    <w:p w14:paraId="421EDC85" w14:textId="77777777" w:rsidR="00FC4BAC" w:rsidRDefault="00FC4BAC" w:rsidP="00646E37">
      <w:pPr>
        <w:shd w:val="clear" w:color="auto" w:fill="FEFEFE"/>
        <w:spacing w:after="0" w:line="240" w:lineRule="auto"/>
        <w:jc w:val="both"/>
        <w:rPr>
          <w:rFonts w:ascii="Cambria" w:eastAsia="Times New Roman" w:hAnsi="Cambria" w:cstheme="minorHAnsi"/>
          <w:color w:val="444444"/>
        </w:rPr>
      </w:pPr>
    </w:p>
    <w:p w14:paraId="5DDE757F" w14:textId="77777777" w:rsidR="00E35B88" w:rsidRDefault="00E35B88" w:rsidP="00646E37">
      <w:pPr>
        <w:shd w:val="clear" w:color="auto" w:fill="FEFEFE"/>
        <w:spacing w:after="0" w:line="240" w:lineRule="auto"/>
        <w:jc w:val="both"/>
        <w:rPr>
          <w:rFonts w:ascii="Cambria" w:eastAsia="Times New Roman" w:hAnsi="Cambria" w:cstheme="minorHAnsi"/>
          <w:color w:val="444444"/>
        </w:rPr>
      </w:pPr>
    </w:p>
    <w:p w14:paraId="6CE91DA2" w14:textId="61645D06" w:rsidR="009225E1" w:rsidRDefault="009225E1" w:rsidP="00646E37">
      <w:pPr>
        <w:shd w:val="clear" w:color="auto" w:fill="FEFEFE"/>
        <w:spacing w:after="0" w:line="240" w:lineRule="auto"/>
        <w:jc w:val="both"/>
        <w:rPr>
          <w:rFonts w:ascii="Cambria" w:eastAsia="Times New Roman" w:hAnsi="Cambria" w:cstheme="minorHAnsi"/>
          <w:color w:val="444444"/>
        </w:rPr>
      </w:pPr>
    </w:p>
    <w:p w14:paraId="7403FD29" w14:textId="77777777" w:rsidR="001F2E65" w:rsidRPr="006B22AC" w:rsidRDefault="001F2E65" w:rsidP="00646E37">
      <w:pPr>
        <w:shd w:val="clear" w:color="auto" w:fill="FEFEFE"/>
        <w:spacing w:after="0" w:line="240" w:lineRule="auto"/>
        <w:jc w:val="both"/>
        <w:rPr>
          <w:rFonts w:ascii="Cambria" w:eastAsia="Times New Roman" w:hAnsi="Cambria" w:cstheme="minorHAnsi"/>
          <w:color w:val="444444"/>
        </w:rPr>
      </w:pPr>
    </w:p>
    <w:p w14:paraId="345A7236" w14:textId="18419076" w:rsidR="006B22AC" w:rsidRDefault="006B22AC" w:rsidP="00646E37">
      <w:pPr>
        <w:spacing w:after="0" w:line="240" w:lineRule="auto"/>
        <w:jc w:val="both"/>
        <w:rPr>
          <w:rFonts w:ascii="Cambria" w:hAnsi="Cambria" w:cstheme="minorHAnsi"/>
        </w:rPr>
      </w:pPr>
      <w:r w:rsidRPr="006B22AC">
        <w:rPr>
          <w:rFonts w:ascii="Cambria" w:hAnsi="Cambria" w:cstheme="minorHAnsi"/>
          <w:b/>
          <w:bCs/>
        </w:rPr>
        <w:lastRenderedPageBreak/>
        <w:t xml:space="preserve">Note </w:t>
      </w:r>
      <w:r w:rsidR="00094E9A">
        <w:rPr>
          <w:rFonts w:ascii="Cambria" w:hAnsi="Cambria" w:cstheme="minorHAnsi"/>
          <w:b/>
          <w:bCs/>
        </w:rPr>
        <w:t>2</w:t>
      </w:r>
      <w:r w:rsidRPr="006B22AC">
        <w:rPr>
          <w:rFonts w:ascii="Cambria" w:hAnsi="Cambria" w:cstheme="minorHAnsi"/>
          <w:b/>
          <w:bCs/>
        </w:rPr>
        <w:t xml:space="preserve"> – Budget Compliance</w:t>
      </w:r>
    </w:p>
    <w:p w14:paraId="264FCED1" w14:textId="77777777" w:rsidR="00094E9A" w:rsidRPr="006B22AC" w:rsidRDefault="00094E9A" w:rsidP="00646E37">
      <w:pPr>
        <w:spacing w:after="0" w:line="240" w:lineRule="auto"/>
        <w:jc w:val="both"/>
        <w:rPr>
          <w:rFonts w:ascii="Cambria" w:hAnsi="Cambria" w:cstheme="minorHAnsi"/>
        </w:rPr>
      </w:pPr>
    </w:p>
    <w:p w14:paraId="0CDC4A27" w14:textId="09DE8006" w:rsidR="006B22AC" w:rsidRPr="006B22AC" w:rsidRDefault="006B22AC" w:rsidP="00646E37">
      <w:pPr>
        <w:spacing w:after="0" w:line="240" w:lineRule="auto"/>
        <w:jc w:val="both"/>
        <w:rPr>
          <w:rFonts w:ascii="Cambria" w:hAnsi="Cambria" w:cstheme="minorHAnsi"/>
        </w:rPr>
      </w:pPr>
      <w:r w:rsidRPr="006B22AC">
        <w:rPr>
          <w:rFonts w:ascii="Cambria" w:hAnsi="Cambria" w:cstheme="minorHAnsi"/>
        </w:rPr>
        <w:t xml:space="preserve">The </w:t>
      </w:r>
      <w:r w:rsidR="00B72507">
        <w:rPr>
          <w:rFonts w:ascii="Cambria" w:hAnsi="Cambria" w:cstheme="minorHAnsi"/>
        </w:rPr>
        <w:t>City of Napavine</w:t>
      </w:r>
      <w:r w:rsidRPr="006B22AC">
        <w:rPr>
          <w:rFonts w:ascii="Cambria" w:hAnsi="Cambria" w:cstheme="minorHAnsi"/>
        </w:rPr>
        <w:t xml:space="preserve"> adopts </w:t>
      </w:r>
      <w:r w:rsidR="00B72507">
        <w:rPr>
          <w:rFonts w:ascii="Cambria" w:hAnsi="Cambria" w:cstheme="minorHAnsi"/>
        </w:rPr>
        <w:t xml:space="preserve">an </w:t>
      </w:r>
      <w:r w:rsidRPr="006B22AC">
        <w:rPr>
          <w:rFonts w:ascii="Cambria" w:hAnsi="Cambria" w:cstheme="minorHAnsi"/>
          <w:u w:val="single"/>
        </w:rPr>
        <w:t>annual</w:t>
      </w:r>
      <w:r w:rsidRPr="006B22AC">
        <w:rPr>
          <w:rFonts w:ascii="Cambria" w:hAnsi="Cambria" w:cstheme="minorHAnsi"/>
        </w:rPr>
        <w:t xml:space="preserve"> appropriated budgets for </w:t>
      </w:r>
      <w:r w:rsidR="00B72507">
        <w:rPr>
          <w:rFonts w:ascii="Cambria" w:hAnsi="Cambria" w:cstheme="minorHAnsi"/>
        </w:rPr>
        <w:t>General Fund, Street Funds, Criminal Justice Special Revenue Fund, Water and Wastewater Enterprise Funds, LID 2011-1 Debt Redemption Fund and Unemployment Compensation Fund</w:t>
      </w:r>
      <w:r w:rsidRPr="006B22AC">
        <w:rPr>
          <w:rFonts w:ascii="Cambria" w:hAnsi="Cambria" w:cstheme="minorHAnsi"/>
        </w:rPr>
        <w:t>. These budgets are appropriated at the fund level</w:t>
      </w:r>
      <w:r w:rsidR="00B72507">
        <w:rPr>
          <w:rFonts w:ascii="Cambria" w:hAnsi="Cambria" w:cstheme="minorHAnsi"/>
        </w:rPr>
        <w:t xml:space="preserve">.  </w:t>
      </w:r>
      <w:r w:rsidRPr="006B22AC">
        <w:rPr>
          <w:rFonts w:ascii="Cambria" w:hAnsi="Cambria" w:cstheme="minorHAnsi"/>
        </w:rPr>
        <w:t xml:space="preserve">The budget constitutes the legal authority for expenditures at that level. </w:t>
      </w:r>
      <w:r w:rsidRPr="00FF0295">
        <w:rPr>
          <w:rFonts w:ascii="Cambria" w:hAnsi="Cambria" w:cstheme="minorHAnsi"/>
        </w:rPr>
        <w:t>Annual</w:t>
      </w:r>
      <w:r w:rsidR="00B72507">
        <w:rPr>
          <w:rFonts w:ascii="Cambria" w:hAnsi="Cambria" w:cstheme="minorHAnsi"/>
          <w:u w:val="single"/>
        </w:rPr>
        <w:t xml:space="preserve"> </w:t>
      </w:r>
      <w:r w:rsidRPr="006B22AC">
        <w:rPr>
          <w:rFonts w:ascii="Cambria" w:hAnsi="Cambria" w:cstheme="minorHAnsi"/>
        </w:rPr>
        <w:t>appropriations for these funds lapse at the fiscal year end.</w:t>
      </w:r>
    </w:p>
    <w:p w14:paraId="79C81F23" w14:textId="77777777" w:rsidR="00B72507" w:rsidRDefault="00B72507" w:rsidP="00646E37">
      <w:pPr>
        <w:spacing w:after="0" w:line="240" w:lineRule="auto"/>
        <w:jc w:val="both"/>
        <w:rPr>
          <w:rFonts w:ascii="Cambria" w:hAnsi="Cambria" w:cstheme="minorHAnsi"/>
        </w:rPr>
      </w:pPr>
    </w:p>
    <w:p w14:paraId="7A15670C" w14:textId="75DD254D" w:rsidR="006B22AC" w:rsidRPr="006B22AC" w:rsidRDefault="006B22AC" w:rsidP="00646E37">
      <w:pPr>
        <w:spacing w:after="0" w:line="240" w:lineRule="auto"/>
        <w:jc w:val="both"/>
        <w:rPr>
          <w:rFonts w:ascii="Cambria" w:hAnsi="Cambria" w:cstheme="minorHAnsi"/>
        </w:rPr>
      </w:pPr>
      <w:r w:rsidRPr="00FF0295">
        <w:rPr>
          <w:rFonts w:ascii="Cambria" w:hAnsi="Cambria" w:cstheme="minorHAnsi"/>
        </w:rPr>
        <w:t xml:space="preserve">Annual </w:t>
      </w:r>
      <w:r w:rsidRPr="006B22AC">
        <w:rPr>
          <w:rFonts w:ascii="Cambria" w:hAnsi="Cambria" w:cstheme="minorHAnsi"/>
        </w:rPr>
        <w:t>appropriated budgets are adopted on the same basis of accounting as used for financial reporting.</w:t>
      </w:r>
    </w:p>
    <w:p w14:paraId="01852DF6" w14:textId="77777777" w:rsidR="00B72507" w:rsidRDefault="00B72507" w:rsidP="00646E37">
      <w:pPr>
        <w:spacing w:after="0" w:line="240" w:lineRule="auto"/>
        <w:jc w:val="both"/>
        <w:rPr>
          <w:rFonts w:ascii="Cambria" w:hAnsi="Cambria" w:cstheme="minorHAnsi"/>
        </w:rPr>
      </w:pPr>
    </w:p>
    <w:p w14:paraId="2AD25B68" w14:textId="3EA1BC9C" w:rsidR="00575543" w:rsidRDefault="006B22AC" w:rsidP="00646E37">
      <w:pPr>
        <w:spacing w:after="0" w:line="240" w:lineRule="auto"/>
        <w:jc w:val="both"/>
        <w:rPr>
          <w:rFonts w:ascii="Cambria" w:hAnsi="Cambria" w:cstheme="minorHAnsi"/>
        </w:rPr>
      </w:pPr>
      <w:r w:rsidRPr="006B22AC">
        <w:rPr>
          <w:rFonts w:ascii="Cambria" w:hAnsi="Cambria" w:cstheme="minorHAnsi"/>
        </w:rPr>
        <w:t>The appropriated and actual expenditures for the legally adopted budgets were as follow: </w:t>
      </w:r>
    </w:p>
    <w:p w14:paraId="7CD5BC3E" w14:textId="77777777" w:rsidR="00575543" w:rsidRDefault="00575543" w:rsidP="00646E37">
      <w:pPr>
        <w:spacing w:after="0" w:line="240" w:lineRule="auto"/>
        <w:jc w:val="both"/>
        <w:rPr>
          <w:rFonts w:ascii="Cambria" w:hAnsi="Cambria" w:cstheme="minorHAnsi"/>
        </w:rPr>
      </w:pPr>
    </w:p>
    <w:p w14:paraId="7A60CDB9" w14:textId="70BB7307" w:rsidR="00E128D0" w:rsidRDefault="00E128D0" w:rsidP="00646E37">
      <w:pPr>
        <w:spacing w:after="0" w:line="240" w:lineRule="auto"/>
        <w:jc w:val="both"/>
        <w:rPr>
          <w:rFonts w:ascii="Cambria" w:hAnsi="Cambria" w:cstheme="minorHAnsi"/>
        </w:rPr>
      </w:pPr>
      <w:r w:rsidRPr="00E128D0">
        <w:rPr>
          <w:noProof/>
        </w:rPr>
        <w:drawing>
          <wp:inline distT="0" distB="0" distL="0" distR="0" wp14:anchorId="6004259A" wp14:editId="34A9CA1C">
            <wp:extent cx="5162550" cy="4581525"/>
            <wp:effectExtent l="0" t="0" r="0" b="9525"/>
            <wp:docPr id="10495001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62550" cy="4581525"/>
                    </a:xfrm>
                    <a:prstGeom prst="rect">
                      <a:avLst/>
                    </a:prstGeom>
                    <a:noFill/>
                    <a:ln>
                      <a:noFill/>
                    </a:ln>
                  </pic:spPr>
                </pic:pic>
              </a:graphicData>
            </a:graphic>
          </wp:inline>
        </w:drawing>
      </w:r>
    </w:p>
    <w:p w14:paraId="031F8A42" w14:textId="77777777" w:rsidR="00E128D0" w:rsidRDefault="00E128D0" w:rsidP="00646E37">
      <w:pPr>
        <w:spacing w:after="0" w:line="240" w:lineRule="auto"/>
        <w:jc w:val="both"/>
        <w:rPr>
          <w:rFonts w:ascii="Cambria" w:hAnsi="Cambria" w:cstheme="minorHAnsi"/>
        </w:rPr>
      </w:pPr>
    </w:p>
    <w:p w14:paraId="01D50CA0" w14:textId="77777777" w:rsidR="00E128D0" w:rsidRDefault="00E128D0" w:rsidP="00646E37">
      <w:pPr>
        <w:spacing w:after="0" w:line="240" w:lineRule="auto"/>
        <w:jc w:val="both"/>
        <w:rPr>
          <w:rFonts w:ascii="Cambria" w:hAnsi="Cambria" w:cstheme="minorHAnsi"/>
        </w:rPr>
      </w:pPr>
    </w:p>
    <w:p w14:paraId="5B591741" w14:textId="54748200" w:rsidR="00CF257C" w:rsidRDefault="006B22AC" w:rsidP="00646E37">
      <w:pPr>
        <w:spacing w:after="0" w:line="240" w:lineRule="auto"/>
        <w:jc w:val="both"/>
        <w:rPr>
          <w:rFonts w:ascii="Cambria" w:hAnsi="Cambria" w:cstheme="minorHAnsi"/>
        </w:rPr>
      </w:pPr>
      <w:r w:rsidRPr="006B22AC">
        <w:rPr>
          <w:rFonts w:ascii="Cambria" w:hAnsi="Cambria" w:cstheme="minorHAnsi"/>
        </w:rPr>
        <w:t xml:space="preserve">Budgeted amounts are authorized to be transferred </w:t>
      </w:r>
      <w:r w:rsidRPr="00CF257C">
        <w:rPr>
          <w:rFonts w:ascii="Cambria" w:hAnsi="Cambria" w:cstheme="minorHAnsi"/>
        </w:rPr>
        <w:t>between departments within any fund/object classes within departments; however, any revisions that alter the to</w:t>
      </w:r>
      <w:r w:rsidRPr="006B22AC">
        <w:rPr>
          <w:rFonts w:ascii="Cambria" w:hAnsi="Cambria" w:cstheme="minorHAnsi"/>
        </w:rPr>
        <w:t xml:space="preserve">tal expenditures of a fund, or that affect the number of authorized employee positions, salary ranges, hours, or other conditions of employment must be approved by the </w:t>
      </w:r>
      <w:r w:rsidR="00756E6D">
        <w:rPr>
          <w:rFonts w:ascii="Cambria" w:hAnsi="Cambria" w:cstheme="minorHAnsi"/>
        </w:rPr>
        <w:t>Napavine City Council</w:t>
      </w:r>
      <w:r w:rsidRPr="006B22AC">
        <w:rPr>
          <w:rFonts w:ascii="Cambria" w:hAnsi="Cambria" w:cstheme="minorHAnsi"/>
        </w:rPr>
        <w:t xml:space="preserve"> legislative body. </w:t>
      </w:r>
    </w:p>
    <w:p w14:paraId="77DE58F4" w14:textId="77777777" w:rsidR="00CF257C" w:rsidRDefault="00CF257C" w:rsidP="00646E37">
      <w:pPr>
        <w:spacing w:after="0" w:line="240" w:lineRule="auto"/>
        <w:jc w:val="both"/>
        <w:rPr>
          <w:rFonts w:ascii="Cambria" w:hAnsi="Cambria" w:cstheme="minorHAnsi"/>
        </w:rPr>
      </w:pPr>
    </w:p>
    <w:p w14:paraId="319D3CB1" w14:textId="1ED05743" w:rsidR="000C453B" w:rsidRDefault="00CF257C" w:rsidP="002B5E90">
      <w:pPr>
        <w:spacing w:after="0" w:line="240" w:lineRule="auto"/>
        <w:jc w:val="both"/>
        <w:rPr>
          <w:rFonts w:ascii="Cambria" w:hAnsi="Cambria"/>
        </w:rPr>
      </w:pPr>
      <w:r>
        <w:rPr>
          <w:rFonts w:ascii="Cambria" w:hAnsi="Cambria" w:cstheme="minorHAnsi"/>
        </w:rPr>
        <w:t>The</w:t>
      </w:r>
      <w:r w:rsidRPr="006B22AC">
        <w:rPr>
          <w:rFonts w:ascii="Cambria" w:hAnsi="Cambria" w:cstheme="minorHAnsi"/>
        </w:rPr>
        <w:t xml:space="preserve"> </w:t>
      </w:r>
      <w:r>
        <w:rPr>
          <w:rFonts w:ascii="Cambria" w:hAnsi="Cambria" w:cstheme="minorHAnsi"/>
        </w:rPr>
        <w:t>Napavine City Council approved amendment</w:t>
      </w:r>
      <w:r w:rsidR="002B5E90">
        <w:rPr>
          <w:rFonts w:ascii="Cambria" w:hAnsi="Cambria" w:cstheme="minorHAnsi"/>
        </w:rPr>
        <w:t>s</w:t>
      </w:r>
      <w:r>
        <w:rPr>
          <w:rFonts w:ascii="Cambria" w:hAnsi="Cambria" w:cstheme="minorHAnsi"/>
        </w:rPr>
        <w:t xml:space="preserve"> to the 202</w:t>
      </w:r>
      <w:r w:rsidR="00E128D0">
        <w:rPr>
          <w:rFonts w:ascii="Cambria" w:hAnsi="Cambria" w:cstheme="minorHAnsi"/>
        </w:rPr>
        <w:t>4</w:t>
      </w:r>
      <w:r>
        <w:rPr>
          <w:rFonts w:ascii="Cambria" w:hAnsi="Cambria" w:cstheme="minorHAnsi"/>
        </w:rPr>
        <w:t xml:space="preserve"> Budget with Ordinance 6</w:t>
      </w:r>
      <w:r w:rsidR="00E128D0">
        <w:rPr>
          <w:rFonts w:ascii="Cambria" w:hAnsi="Cambria" w:cstheme="minorHAnsi"/>
        </w:rPr>
        <w:t>55</w:t>
      </w:r>
      <w:r>
        <w:rPr>
          <w:rFonts w:ascii="Cambria" w:hAnsi="Cambria" w:cstheme="minorHAnsi"/>
        </w:rPr>
        <w:t xml:space="preserve">-A on </w:t>
      </w:r>
      <w:proofErr w:type="gramStart"/>
      <w:r w:rsidR="00DE6A9A">
        <w:rPr>
          <w:rFonts w:ascii="Cambria" w:hAnsi="Cambria" w:cstheme="minorHAnsi"/>
        </w:rPr>
        <w:t xml:space="preserve">Dec </w:t>
      </w:r>
      <w:r w:rsidR="00575543">
        <w:rPr>
          <w:rFonts w:ascii="Cambria" w:hAnsi="Cambria" w:cstheme="minorHAnsi"/>
        </w:rPr>
        <w:t xml:space="preserve"> </w:t>
      </w:r>
      <w:r w:rsidR="00E128D0">
        <w:rPr>
          <w:rFonts w:ascii="Cambria" w:hAnsi="Cambria" w:cstheme="minorHAnsi"/>
        </w:rPr>
        <w:t>9</w:t>
      </w:r>
      <w:proofErr w:type="gramEnd"/>
      <w:r>
        <w:rPr>
          <w:rFonts w:ascii="Cambria" w:hAnsi="Cambria" w:cstheme="minorHAnsi"/>
        </w:rPr>
        <w:t xml:space="preserve">, </w:t>
      </w:r>
      <w:r w:rsidR="000C453B">
        <w:rPr>
          <w:rFonts w:ascii="Cambria" w:hAnsi="Cambria" w:cstheme="minorHAnsi"/>
        </w:rPr>
        <w:t>202</w:t>
      </w:r>
      <w:r w:rsidR="00E128D0">
        <w:rPr>
          <w:rFonts w:ascii="Cambria" w:hAnsi="Cambria" w:cstheme="minorHAnsi"/>
        </w:rPr>
        <w:t>4</w:t>
      </w:r>
      <w:r w:rsidR="002B5E90">
        <w:rPr>
          <w:rFonts w:ascii="Cambria" w:hAnsi="Cambria" w:cstheme="minorHAnsi"/>
        </w:rPr>
        <w:t>.</w:t>
      </w:r>
      <w:r w:rsidR="00E46EBC">
        <w:rPr>
          <w:rFonts w:ascii="Cambria" w:hAnsi="Cambria" w:cstheme="minorHAnsi"/>
        </w:rPr>
        <w:t xml:space="preserve"> </w:t>
      </w:r>
    </w:p>
    <w:p w14:paraId="7709227E" w14:textId="4B2F3C16" w:rsidR="006B22AC" w:rsidRDefault="006B22AC" w:rsidP="00646E37">
      <w:pPr>
        <w:spacing w:after="0" w:line="240" w:lineRule="auto"/>
        <w:jc w:val="both"/>
        <w:rPr>
          <w:rFonts w:ascii="Cambria" w:hAnsi="Cambria" w:cstheme="minorHAnsi"/>
          <w:b/>
          <w:bCs/>
        </w:rPr>
      </w:pPr>
      <w:r w:rsidRPr="009A2187">
        <w:rPr>
          <w:rFonts w:ascii="Cambria" w:hAnsi="Cambria" w:cstheme="minorHAnsi"/>
          <w:b/>
          <w:bCs/>
        </w:rPr>
        <w:lastRenderedPageBreak/>
        <w:t xml:space="preserve">Note </w:t>
      </w:r>
      <w:r w:rsidR="002B5E90">
        <w:rPr>
          <w:rFonts w:ascii="Cambria" w:hAnsi="Cambria" w:cstheme="minorHAnsi"/>
          <w:b/>
          <w:bCs/>
        </w:rPr>
        <w:t>3</w:t>
      </w:r>
      <w:r w:rsidRPr="009A2187">
        <w:rPr>
          <w:rFonts w:ascii="Cambria" w:hAnsi="Cambria" w:cstheme="minorHAnsi"/>
          <w:b/>
          <w:bCs/>
        </w:rPr>
        <w:t xml:space="preserve"> – Deposits and Investments</w:t>
      </w:r>
    </w:p>
    <w:p w14:paraId="79D6FE9D" w14:textId="77777777" w:rsidR="0074518E" w:rsidRPr="006B22AC" w:rsidRDefault="0074518E" w:rsidP="00646E37">
      <w:pPr>
        <w:spacing w:after="0" w:line="240" w:lineRule="auto"/>
        <w:jc w:val="both"/>
        <w:rPr>
          <w:rFonts w:ascii="Cambria" w:hAnsi="Cambria" w:cstheme="minorHAnsi"/>
        </w:rPr>
      </w:pPr>
    </w:p>
    <w:p w14:paraId="347D2B7E" w14:textId="29A58425" w:rsidR="006B22AC" w:rsidRDefault="006B22AC" w:rsidP="00646E37">
      <w:pPr>
        <w:spacing w:after="0" w:line="240" w:lineRule="auto"/>
        <w:jc w:val="both"/>
        <w:rPr>
          <w:rFonts w:ascii="Cambria" w:hAnsi="Cambria" w:cstheme="minorHAnsi"/>
        </w:rPr>
      </w:pPr>
      <w:r w:rsidRPr="006B22AC">
        <w:rPr>
          <w:rFonts w:ascii="Cambria" w:hAnsi="Cambria" w:cstheme="minorHAnsi"/>
        </w:rPr>
        <w:t>Investments are reported at original cost</w:t>
      </w:r>
      <w:r w:rsidR="009D4ECC">
        <w:rPr>
          <w:rFonts w:ascii="Cambria" w:hAnsi="Cambria" w:cstheme="minorHAnsi"/>
        </w:rPr>
        <w:t xml:space="preserve"> v</w:t>
      </w:r>
      <w:r w:rsidRPr="006B22AC">
        <w:rPr>
          <w:rFonts w:ascii="Cambria" w:hAnsi="Cambria" w:cstheme="minorHAnsi"/>
        </w:rPr>
        <w:t>alue.</w:t>
      </w:r>
      <w:r w:rsidR="009D4ECC">
        <w:rPr>
          <w:rFonts w:ascii="Cambria" w:hAnsi="Cambria" w:cstheme="minorHAnsi"/>
        </w:rPr>
        <w:t xml:space="preserve"> </w:t>
      </w:r>
      <w:r w:rsidRPr="006B22AC">
        <w:rPr>
          <w:rFonts w:ascii="Cambria" w:hAnsi="Cambria" w:cstheme="minorHAnsi"/>
        </w:rPr>
        <w:t xml:space="preserve"> Deposits and investments by type </w:t>
      </w:r>
      <w:r w:rsidR="0074518E" w:rsidRPr="006B22AC">
        <w:rPr>
          <w:rFonts w:ascii="Cambria" w:hAnsi="Cambria" w:cstheme="minorHAnsi"/>
        </w:rPr>
        <w:t>on</w:t>
      </w:r>
      <w:r w:rsidRPr="006B22AC">
        <w:rPr>
          <w:rFonts w:ascii="Cambria" w:hAnsi="Cambria" w:cstheme="minorHAnsi"/>
        </w:rPr>
        <w:t xml:space="preserve"> December 31, </w:t>
      </w:r>
      <w:r w:rsidR="00E732B3" w:rsidRPr="006B22AC">
        <w:rPr>
          <w:rFonts w:ascii="Cambria" w:hAnsi="Cambria" w:cstheme="minorHAnsi"/>
        </w:rPr>
        <w:t>20</w:t>
      </w:r>
      <w:r w:rsidR="00E732B3">
        <w:rPr>
          <w:rFonts w:ascii="Cambria" w:hAnsi="Cambria" w:cstheme="minorHAnsi"/>
        </w:rPr>
        <w:t>2</w:t>
      </w:r>
      <w:r w:rsidR="008D43AC">
        <w:rPr>
          <w:rFonts w:ascii="Cambria" w:hAnsi="Cambria" w:cstheme="minorHAnsi"/>
        </w:rPr>
        <w:t>3</w:t>
      </w:r>
      <w:r w:rsidR="00E732B3">
        <w:rPr>
          <w:rFonts w:ascii="Cambria" w:hAnsi="Cambria" w:cstheme="minorHAnsi"/>
        </w:rPr>
        <w:t>,</w:t>
      </w:r>
      <w:r w:rsidR="009D4ECC">
        <w:rPr>
          <w:rFonts w:ascii="Cambria" w:hAnsi="Cambria" w:cstheme="minorHAnsi"/>
        </w:rPr>
        <w:t xml:space="preserve"> </w:t>
      </w:r>
      <w:r w:rsidRPr="006B22AC">
        <w:rPr>
          <w:rFonts w:ascii="Cambria" w:hAnsi="Cambria" w:cstheme="minorHAnsi"/>
        </w:rPr>
        <w:t>are as follows:</w:t>
      </w:r>
    </w:p>
    <w:p w14:paraId="4546AEF6" w14:textId="77777777" w:rsidR="00B64D92" w:rsidRPr="006B22AC" w:rsidRDefault="00B64D92" w:rsidP="00646E37">
      <w:pPr>
        <w:spacing w:after="0" w:line="240" w:lineRule="auto"/>
        <w:jc w:val="both"/>
        <w:rPr>
          <w:rFonts w:ascii="Cambria" w:hAnsi="Cambria" w:cstheme="minorHAnsi"/>
        </w:rPr>
      </w:pPr>
    </w:p>
    <w:tbl>
      <w:tblPr>
        <w:tblW w:w="9352" w:type="dxa"/>
        <w:tblBorders>
          <w:top w:val="single" w:sz="6" w:space="0" w:color="CCCCCC"/>
          <w:left w:val="single" w:sz="6" w:space="0" w:color="CCCCCC"/>
          <w:bottom w:val="single" w:sz="6" w:space="0" w:color="CCCCCC"/>
          <w:right w:val="single" w:sz="6" w:space="0" w:color="CCCCCC"/>
        </w:tblBorders>
        <w:tblLayout w:type="fixed"/>
        <w:tblCellMar>
          <w:top w:w="15" w:type="dxa"/>
          <w:left w:w="15" w:type="dxa"/>
          <w:bottom w:w="15" w:type="dxa"/>
          <w:right w:w="15" w:type="dxa"/>
        </w:tblCellMar>
        <w:tblLook w:val="04A0" w:firstRow="1" w:lastRow="0" w:firstColumn="1" w:lastColumn="0" w:noHBand="0" w:noVBand="1"/>
      </w:tblPr>
      <w:tblGrid>
        <w:gridCol w:w="3772"/>
        <w:gridCol w:w="2880"/>
        <w:gridCol w:w="2700"/>
      </w:tblGrid>
      <w:tr w:rsidR="009D4ECC" w:rsidRPr="006B22AC" w14:paraId="7A036B66" w14:textId="77777777" w:rsidTr="00AD025A">
        <w:trPr>
          <w:trHeight w:val="805"/>
        </w:trPr>
        <w:tc>
          <w:tcPr>
            <w:tcW w:w="3772" w:type="dxa"/>
            <w:shd w:val="clear" w:color="auto" w:fill="F0F0F0"/>
            <w:tcMar>
              <w:top w:w="150" w:type="dxa"/>
              <w:left w:w="150" w:type="dxa"/>
              <w:bottom w:w="150" w:type="dxa"/>
              <w:right w:w="150" w:type="dxa"/>
            </w:tcMar>
            <w:hideMark/>
          </w:tcPr>
          <w:p w14:paraId="40FA5405" w14:textId="6C095782" w:rsidR="009D4ECC" w:rsidRPr="006B22AC" w:rsidRDefault="009D4ECC" w:rsidP="00B47613">
            <w:pPr>
              <w:spacing w:after="0" w:line="240" w:lineRule="auto"/>
              <w:jc w:val="center"/>
              <w:rPr>
                <w:rFonts w:ascii="Cambria" w:hAnsi="Cambria" w:cstheme="minorHAnsi"/>
              </w:rPr>
            </w:pPr>
            <w:r w:rsidRPr="006B22AC">
              <w:rPr>
                <w:rFonts w:ascii="Cambria" w:hAnsi="Cambria" w:cstheme="minorHAnsi"/>
              </w:rPr>
              <w:t>Type of deposit or investment</w:t>
            </w:r>
          </w:p>
        </w:tc>
        <w:tc>
          <w:tcPr>
            <w:tcW w:w="2880" w:type="dxa"/>
            <w:shd w:val="clear" w:color="auto" w:fill="F0F0F0"/>
            <w:tcMar>
              <w:top w:w="150" w:type="dxa"/>
              <w:left w:w="150" w:type="dxa"/>
              <w:bottom w:w="150" w:type="dxa"/>
              <w:right w:w="150" w:type="dxa"/>
            </w:tcMar>
            <w:hideMark/>
          </w:tcPr>
          <w:p w14:paraId="540AAA02" w14:textId="77777777" w:rsidR="00AD025A" w:rsidRDefault="00B47613" w:rsidP="00B47613">
            <w:pPr>
              <w:spacing w:after="0" w:line="240" w:lineRule="auto"/>
              <w:jc w:val="center"/>
              <w:rPr>
                <w:rFonts w:ascii="Cambria" w:hAnsi="Cambria" w:cstheme="minorHAnsi"/>
              </w:rPr>
            </w:pPr>
            <w:r>
              <w:rPr>
                <w:rFonts w:ascii="Cambria" w:hAnsi="Cambria" w:cstheme="minorHAnsi"/>
              </w:rPr>
              <w:t xml:space="preserve">City of </w:t>
            </w:r>
            <w:proofErr w:type="spellStart"/>
            <w:proofErr w:type="gramStart"/>
            <w:r>
              <w:rPr>
                <w:rFonts w:ascii="Cambria" w:hAnsi="Cambria" w:cstheme="minorHAnsi"/>
              </w:rPr>
              <w:t>Napavine’s</w:t>
            </w:r>
            <w:proofErr w:type="spellEnd"/>
            <w:r>
              <w:rPr>
                <w:rFonts w:ascii="Cambria" w:hAnsi="Cambria" w:cstheme="minorHAnsi"/>
              </w:rPr>
              <w:t xml:space="preserve"> </w:t>
            </w:r>
            <w:r w:rsidR="009D4ECC" w:rsidRPr="006B22AC">
              <w:rPr>
                <w:rFonts w:ascii="Cambria" w:hAnsi="Cambria" w:cstheme="minorHAnsi"/>
              </w:rPr>
              <w:t> </w:t>
            </w:r>
            <w:r w:rsidR="009D4ECC" w:rsidRPr="006B22AC">
              <w:rPr>
                <w:rFonts w:ascii="Cambria" w:hAnsi="Cambria" w:cstheme="minorHAnsi"/>
                <w:b/>
                <w:bCs/>
              </w:rPr>
              <w:t>own</w:t>
            </w:r>
            <w:proofErr w:type="gramEnd"/>
            <w:r w:rsidR="009D4ECC" w:rsidRPr="006B22AC">
              <w:rPr>
                <w:rFonts w:ascii="Cambria" w:hAnsi="Cambria" w:cstheme="minorHAnsi"/>
              </w:rPr>
              <w:t> </w:t>
            </w:r>
          </w:p>
          <w:p w14:paraId="5E761616" w14:textId="55E88387" w:rsidR="009D4ECC" w:rsidRPr="006B22AC" w:rsidRDefault="009D4ECC" w:rsidP="00B47613">
            <w:pPr>
              <w:spacing w:after="0" w:line="240" w:lineRule="auto"/>
              <w:jc w:val="center"/>
              <w:rPr>
                <w:rFonts w:ascii="Cambria" w:hAnsi="Cambria" w:cstheme="minorHAnsi"/>
              </w:rPr>
            </w:pPr>
            <w:r w:rsidRPr="006B22AC">
              <w:rPr>
                <w:rFonts w:ascii="Cambria" w:hAnsi="Cambria" w:cstheme="minorHAnsi"/>
              </w:rPr>
              <w:t>deposits and investments </w:t>
            </w:r>
          </w:p>
        </w:tc>
        <w:tc>
          <w:tcPr>
            <w:tcW w:w="2700" w:type="dxa"/>
            <w:shd w:val="clear" w:color="auto" w:fill="F0F0F0"/>
            <w:tcMar>
              <w:top w:w="150" w:type="dxa"/>
              <w:left w:w="150" w:type="dxa"/>
              <w:bottom w:w="150" w:type="dxa"/>
              <w:right w:w="150" w:type="dxa"/>
            </w:tcMar>
            <w:hideMark/>
          </w:tcPr>
          <w:p w14:paraId="1B0716D3" w14:textId="77777777" w:rsidR="009D4ECC" w:rsidRPr="006B22AC" w:rsidRDefault="009D4ECC" w:rsidP="00B47613">
            <w:pPr>
              <w:tabs>
                <w:tab w:val="left" w:pos="1140"/>
              </w:tabs>
              <w:spacing w:after="0" w:line="240" w:lineRule="auto"/>
              <w:jc w:val="center"/>
              <w:rPr>
                <w:rFonts w:ascii="Cambria" w:hAnsi="Cambria" w:cstheme="minorHAnsi"/>
              </w:rPr>
            </w:pPr>
            <w:r w:rsidRPr="006B22AC">
              <w:rPr>
                <w:rFonts w:ascii="Cambria" w:hAnsi="Cambria" w:cstheme="minorHAnsi"/>
              </w:rPr>
              <w:t>Total</w:t>
            </w:r>
          </w:p>
        </w:tc>
      </w:tr>
      <w:tr w:rsidR="009D4ECC" w:rsidRPr="006B22AC" w14:paraId="7EF98BCB" w14:textId="77777777" w:rsidTr="00AD025A">
        <w:trPr>
          <w:trHeight w:val="260"/>
        </w:trPr>
        <w:tc>
          <w:tcPr>
            <w:tcW w:w="3772" w:type="dxa"/>
            <w:tcMar>
              <w:top w:w="150" w:type="dxa"/>
              <w:left w:w="150" w:type="dxa"/>
              <w:bottom w:w="150" w:type="dxa"/>
              <w:right w:w="150" w:type="dxa"/>
            </w:tcMar>
            <w:hideMark/>
          </w:tcPr>
          <w:p w14:paraId="703C2495" w14:textId="77777777" w:rsidR="009D4ECC" w:rsidRPr="006B22AC" w:rsidRDefault="009D4ECC" w:rsidP="00646E37">
            <w:pPr>
              <w:spacing w:after="0" w:line="240" w:lineRule="auto"/>
              <w:jc w:val="both"/>
              <w:rPr>
                <w:rFonts w:ascii="Cambria" w:hAnsi="Cambria" w:cstheme="minorHAnsi"/>
              </w:rPr>
            </w:pPr>
            <w:r w:rsidRPr="006B22AC">
              <w:rPr>
                <w:rFonts w:ascii="Cambria" w:hAnsi="Cambria" w:cstheme="minorHAnsi"/>
              </w:rPr>
              <w:t>Bank deposits</w:t>
            </w:r>
          </w:p>
        </w:tc>
        <w:tc>
          <w:tcPr>
            <w:tcW w:w="2880" w:type="dxa"/>
            <w:tcMar>
              <w:top w:w="150" w:type="dxa"/>
              <w:left w:w="150" w:type="dxa"/>
              <w:bottom w:w="150" w:type="dxa"/>
              <w:right w:w="150" w:type="dxa"/>
            </w:tcMar>
            <w:vAlign w:val="center"/>
            <w:hideMark/>
          </w:tcPr>
          <w:p w14:paraId="4E546422" w14:textId="0AA9970D" w:rsidR="009D4ECC" w:rsidRPr="006B22AC" w:rsidRDefault="009D4ECC" w:rsidP="00AD025A">
            <w:pPr>
              <w:spacing w:after="0" w:line="240" w:lineRule="auto"/>
              <w:jc w:val="right"/>
              <w:rPr>
                <w:rFonts w:ascii="Cambria" w:hAnsi="Cambria" w:cstheme="minorHAnsi"/>
              </w:rPr>
            </w:pPr>
            <w:r w:rsidRPr="006B22AC">
              <w:rPr>
                <w:rFonts w:ascii="Cambria" w:hAnsi="Cambria" w:cstheme="minorHAnsi"/>
              </w:rPr>
              <w:t>$</w:t>
            </w:r>
            <w:r w:rsidR="00A85735">
              <w:rPr>
                <w:rFonts w:ascii="Cambria" w:hAnsi="Cambria" w:cstheme="minorHAnsi"/>
              </w:rPr>
              <w:t xml:space="preserve"> </w:t>
            </w:r>
            <w:r w:rsidR="00E128D0">
              <w:rPr>
                <w:rFonts w:ascii="Cambria" w:hAnsi="Cambria" w:cstheme="minorHAnsi"/>
              </w:rPr>
              <w:t>3,927,649</w:t>
            </w:r>
          </w:p>
        </w:tc>
        <w:tc>
          <w:tcPr>
            <w:tcW w:w="2700" w:type="dxa"/>
            <w:tcMar>
              <w:top w:w="150" w:type="dxa"/>
              <w:left w:w="150" w:type="dxa"/>
              <w:bottom w:w="150" w:type="dxa"/>
              <w:right w:w="150" w:type="dxa"/>
            </w:tcMar>
            <w:vAlign w:val="center"/>
            <w:hideMark/>
          </w:tcPr>
          <w:p w14:paraId="0827EE9C" w14:textId="43721C08" w:rsidR="009D4ECC" w:rsidRPr="006B22AC" w:rsidRDefault="009D4ECC" w:rsidP="00AD025A">
            <w:pPr>
              <w:spacing w:after="0" w:line="240" w:lineRule="auto"/>
              <w:jc w:val="right"/>
              <w:rPr>
                <w:rFonts w:ascii="Cambria" w:hAnsi="Cambria" w:cstheme="minorHAnsi"/>
              </w:rPr>
            </w:pPr>
            <w:r w:rsidRPr="006B22AC">
              <w:rPr>
                <w:rFonts w:ascii="Cambria" w:hAnsi="Cambria" w:cstheme="minorHAnsi"/>
              </w:rPr>
              <w:t>$</w:t>
            </w:r>
            <w:r w:rsidR="00E128D0">
              <w:rPr>
                <w:rFonts w:ascii="Cambria" w:hAnsi="Cambria" w:cstheme="minorHAnsi"/>
              </w:rPr>
              <w:t>3,927,649</w:t>
            </w:r>
          </w:p>
        </w:tc>
      </w:tr>
      <w:tr w:rsidR="009D4ECC" w:rsidRPr="006B22AC" w14:paraId="70728220" w14:textId="77777777" w:rsidTr="00AD025A">
        <w:trPr>
          <w:trHeight w:val="260"/>
        </w:trPr>
        <w:tc>
          <w:tcPr>
            <w:tcW w:w="3772" w:type="dxa"/>
            <w:shd w:val="clear" w:color="auto" w:fill="F0F0F0"/>
            <w:tcMar>
              <w:top w:w="150" w:type="dxa"/>
              <w:left w:w="150" w:type="dxa"/>
              <w:bottom w:w="150" w:type="dxa"/>
              <w:right w:w="150" w:type="dxa"/>
            </w:tcMar>
            <w:hideMark/>
          </w:tcPr>
          <w:p w14:paraId="4674E2A2" w14:textId="543447D5" w:rsidR="009D4ECC" w:rsidRPr="006B22AC" w:rsidRDefault="00D805EB" w:rsidP="00646E37">
            <w:pPr>
              <w:spacing w:after="0" w:line="240" w:lineRule="auto"/>
              <w:jc w:val="both"/>
              <w:rPr>
                <w:rFonts w:ascii="Cambria" w:hAnsi="Cambria" w:cstheme="minorHAnsi"/>
              </w:rPr>
            </w:pPr>
            <w:r>
              <w:rPr>
                <w:rFonts w:ascii="Cambria" w:hAnsi="Cambria" w:cstheme="minorHAnsi"/>
              </w:rPr>
              <w:t>Cash on Hand</w:t>
            </w:r>
          </w:p>
        </w:tc>
        <w:tc>
          <w:tcPr>
            <w:tcW w:w="2880" w:type="dxa"/>
            <w:shd w:val="clear" w:color="auto" w:fill="F0F0F0"/>
            <w:tcMar>
              <w:top w:w="150" w:type="dxa"/>
              <w:left w:w="150" w:type="dxa"/>
              <w:bottom w:w="150" w:type="dxa"/>
              <w:right w:w="150" w:type="dxa"/>
            </w:tcMar>
            <w:vAlign w:val="center"/>
            <w:hideMark/>
          </w:tcPr>
          <w:p w14:paraId="0D272C4F" w14:textId="4A73D442" w:rsidR="009D4ECC" w:rsidRPr="006B22AC" w:rsidRDefault="00D805EB" w:rsidP="00AD025A">
            <w:pPr>
              <w:spacing w:after="0" w:line="240" w:lineRule="auto"/>
              <w:jc w:val="right"/>
              <w:rPr>
                <w:rFonts w:ascii="Cambria" w:hAnsi="Cambria" w:cstheme="minorHAnsi"/>
              </w:rPr>
            </w:pPr>
            <w:r>
              <w:rPr>
                <w:rFonts w:ascii="Cambria" w:hAnsi="Cambria" w:cstheme="minorHAnsi"/>
              </w:rPr>
              <w:t>$            650</w:t>
            </w:r>
          </w:p>
        </w:tc>
        <w:tc>
          <w:tcPr>
            <w:tcW w:w="2700" w:type="dxa"/>
            <w:shd w:val="clear" w:color="auto" w:fill="F0F0F0"/>
            <w:tcMar>
              <w:top w:w="150" w:type="dxa"/>
              <w:left w:w="150" w:type="dxa"/>
              <w:bottom w:w="150" w:type="dxa"/>
              <w:right w:w="150" w:type="dxa"/>
            </w:tcMar>
            <w:vAlign w:val="center"/>
            <w:hideMark/>
          </w:tcPr>
          <w:p w14:paraId="2A35E3D7" w14:textId="6B1B33E3" w:rsidR="009D4ECC" w:rsidRPr="006B22AC" w:rsidRDefault="009D4ECC" w:rsidP="00AD025A">
            <w:pPr>
              <w:spacing w:after="0" w:line="240" w:lineRule="auto"/>
              <w:jc w:val="right"/>
              <w:rPr>
                <w:rFonts w:ascii="Cambria" w:hAnsi="Cambria" w:cstheme="minorHAnsi"/>
              </w:rPr>
            </w:pPr>
            <w:r w:rsidRPr="006B22AC">
              <w:rPr>
                <w:rFonts w:ascii="Cambria" w:hAnsi="Cambria" w:cstheme="minorHAnsi"/>
              </w:rPr>
              <w:t> </w:t>
            </w:r>
            <w:r w:rsidR="00E30692">
              <w:rPr>
                <w:rFonts w:ascii="Cambria" w:hAnsi="Cambria" w:cstheme="minorHAnsi"/>
              </w:rPr>
              <w:t xml:space="preserve">           $650</w:t>
            </w:r>
          </w:p>
        </w:tc>
      </w:tr>
      <w:tr w:rsidR="009D4ECC" w:rsidRPr="006B22AC" w14:paraId="4FAB66A6" w14:textId="77777777" w:rsidTr="00AD025A">
        <w:trPr>
          <w:trHeight w:val="260"/>
        </w:trPr>
        <w:tc>
          <w:tcPr>
            <w:tcW w:w="3772" w:type="dxa"/>
            <w:tcMar>
              <w:top w:w="150" w:type="dxa"/>
              <w:left w:w="150" w:type="dxa"/>
              <w:bottom w:w="150" w:type="dxa"/>
              <w:right w:w="150" w:type="dxa"/>
            </w:tcMar>
            <w:hideMark/>
          </w:tcPr>
          <w:p w14:paraId="73F6E95A" w14:textId="77777777" w:rsidR="009D4ECC" w:rsidRPr="006B22AC" w:rsidRDefault="009D4ECC" w:rsidP="00646E37">
            <w:pPr>
              <w:spacing w:after="0" w:line="240" w:lineRule="auto"/>
              <w:jc w:val="both"/>
              <w:rPr>
                <w:rFonts w:ascii="Cambria" w:hAnsi="Cambria" w:cstheme="minorHAnsi"/>
              </w:rPr>
            </w:pPr>
            <w:r w:rsidRPr="006B22AC">
              <w:rPr>
                <w:rFonts w:ascii="Cambria" w:hAnsi="Cambria" w:cstheme="minorHAnsi"/>
              </w:rPr>
              <w:t>Local Government Investment Pool</w:t>
            </w:r>
          </w:p>
        </w:tc>
        <w:tc>
          <w:tcPr>
            <w:tcW w:w="2880" w:type="dxa"/>
            <w:tcMar>
              <w:top w:w="150" w:type="dxa"/>
              <w:left w:w="150" w:type="dxa"/>
              <w:bottom w:w="150" w:type="dxa"/>
              <w:right w:w="150" w:type="dxa"/>
            </w:tcMar>
            <w:vAlign w:val="center"/>
            <w:hideMark/>
          </w:tcPr>
          <w:p w14:paraId="626318E8" w14:textId="3CD52A51" w:rsidR="009D4ECC" w:rsidRPr="006B22AC" w:rsidRDefault="009D4ECC" w:rsidP="00AD025A">
            <w:pPr>
              <w:spacing w:after="0" w:line="240" w:lineRule="auto"/>
              <w:jc w:val="right"/>
              <w:rPr>
                <w:rFonts w:ascii="Cambria" w:hAnsi="Cambria" w:cstheme="minorHAnsi"/>
              </w:rPr>
            </w:pPr>
            <w:r w:rsidRPr="006B22AC">
              <w:rPr>
                <w:rFonts w:ascii="Cambria" w:hAnsi="Cambria" w:cstheme="minorHAnsi"/>
              </w:rPr>
              <w:t> </w:t>
            </w:r>
            <w:r w:rsidR="00D805EB">
              <w:rPr>
                <w:rFonts w:ascii="Cambria" w:hAnsi="Cambria" w:cstheme="minorHAnsi"/>
              </w:rPr>
              <w:t xml:space="preserve">$   </w:t>
            </w:r>
            <w:r w:rsidR="008D43AC">
              <w:rPr>
                <w:rFonts w:ascii="Cambria" w:hAnsi="Cambria" w:cstheme="minorHAnsi"/>
              </w:rPr>
              <w:t>4</w:t>
            </w:r>
            <w:r w:rsidR="00E128D0">
              <w:rPr>
                <w:rFonts w:ascii="Cambria" w:hAnsi="Cambria" w:cstheme="minorHAnsi"/>
              </w:rPr>
              <w:t>43,172</w:t>
            </w:r>
          </w:p>
        </w:tc>
        <w:tc>
          <w:tcPr>
            <w:tcW w:w="2700" w:type="dxa"/>
            <w:tcMar>
              <w:top w:w="150" w:type="dxa"/>
              <w:left w:w="150" w:type="dxa"/>
              <w:bottom w:w="150" w:type="dxa"/>
              <w:right w:w="150" w:type="dxa"/>
            </w:tcMar>
            <w:vAlign w:val="center"/>
            <w:hideMark/>
          </w:tcPr>
          <w:p w14:paraId="5D4C3573" w14:textId="36007BDF" w:rsidR="009D4ECC" w:rsidRPr="006B22AC" w:rsidRDefault="009D4ECC" w:rsidP="00AD025A">
            <w:pPr>
              <w:spacing w:after="0" w:line="240" w:lineRule="auto"/>
              <w:jc w:val="right"/>
              <w:rPr>
                <w:rFonts w:ascii="Cambria" w:hAnsi="Cambria" w:cstheme="minorHAnsi"/>
              </w:rPr>
            </w:pPr>
            <w:r w:rsidRPr="006B22AC">
              <w:rPr>
                <w:rFonts w:ascii="Cambria" w:hAnsi="Cambria" w:cstheme="minorHAnsi"/>
              </w:rPr>
              <w:t> </w:t>
            </w:r>
            <w:r w:rsidR="00E30692">
              <w:rPr>
                <w:rFonts w:ascii="Cambria" w:hAnsi="Cambria" w:cstheme="minorHAnsi"/>
              </w:rPr>
              <w:t xml:space="preserve">   $</w:t>
            </w:r>
            <w:r w:rsidR="008D43AC">
              <w:rPr>
                <w:rFonts w:ascii="Cambria" w:hAnsi="Cambria" w:cstheme="minorHAnsi"/>
              </w:rPr>
              <w:t>4</w:t>
            </w:r>
            <w:r w:rsidR="00E128D0">
              <w:rPr>
                <w:rFonts w:ascii="Cambria" w:hAnsi="Cambria" w:cstheme="minorHAnsi"/>
              </w:rPr>
              <w:t>43,172</w:t>
            </w:r>
          </w:p>
        </w:tc>
      </w:tr>
      <w:tr w:rsidR="009D4ECC" w:rsidRPr="006B22AC" w14:paraId="63BD8525" w14:textId="77777777" w:rsidTr="00AD025A">
        <w:trPr>
          <w:trHeight w:val="275"/>
        </w:trPr>
        <w:tc>
          <w:tcPr>
            <w:tcW w:w="3772" w:type="dxa"/>
            <w:shd w:val="clear" w:color="auto" w:fill="F0F0F0"/>
            <w:tcMar>
              <w:top w:w="150" w:type="dxa"/>
              <w:left w:w="150" w:type="dxa"/>
              <w:bottom w:w="150" w:type="dxa"/>
              <w:right w:w="150" w:type="dxa"/>
            </w:tcMar>
            <w:hideMark/>
          </w:tcPr>
          <w:p w14:paraId="7D8DE164" w14:textId="482E4CFF" w:rsidR="009D4ECC" w:rsidRPr="006B22AC" w:rsidRDefault="009D4ECC" w:rsidP="00646E37">
            <w:pPr>
              <w:spacing w:after="0" w:line="240" w:lineRule="auto"/>
              <w:jc w:val="both"/>
              <w:rPr>
                <w:rFonts w:ascii="Cambria" w:hAnsi="Cambria" w:cstheme="minorHAnsi"/>
              </w:rPr>
            </w:pPr>
            <w:r w:rsidRPr="006B22AC">
              <w:rPr>
                <w:rFonts w:ascii="Cambria" w:hAnsi="Cambria" w:cstheme="minorHAnsi"/>
              </w:rPr>
              <w:t xml:space="preserve">U.S. Government </w:t>
            </w:r>
            <w:r w:rsidR="00E30692">
              <w:rPr>
                <w:rFonts w:ascii="Cambria" w:hAnsi="Cambria" w:cstheme="minorHAnsi"/>
              </w:rPr>
              <w:t>Bonds</w:t>
            </w:r>
          </w:p>
        </w:tc>
        <w:tc>
          <w:tcPr>
            <w:tcW w:w="2880" w:type="dxa"/>
            <w:shd w:val="clear" w:color="auto" w:fill="F0F0F0"/>
            <w:tcMar>
              <w:top w:w="150" w:type="dxa"/>
              <w:left w:w="150" w:type="dxa"/>
              <w:bottom w:w="150" w:type="dxa"/>
              <w:right w:w="150" w:type="dxa"/>
            </w:tcMar>
            <w:vAlign w:val="center"/>
            <w:hideMark/>
          </w:tcPr>
          <w:p w14:paraId="470CB988" w14:textId="4AC89277" w:rsidR="009D4ECC" w:rsidRPr="006B22AC" w:rsidRDefault="009D4ECC" w:rsidP="00AD025A">
            <w:pPr>
              <w:spacing w:after="0" w:line="240" w:lineRule="auto"/>
              <w:jc w:val="right"/>
              <w:rPr>
                <w:rFonts w:ascii="Cambria" w:hAnsi="Cambria" w:cstheme="minorHAnsi"/>
              </w:rPr>
            </w:pPr>
            <w:r w:rsidRPr="006B22AC">
              <w:rPr>
                <w:rFonts w:ascii="Cambria" w:hAnsi="Cambria" w:cstheme="minorHAnsi"/>
              </w:rPr>
              <w:t> </w:t>
            </w:r>
            <w:r w:rsidR="002A2EAD">
              <w:rPr>
                <w:rFonts w:ascii="Cambria" w:hAnsi="Cambria" w:cstheme="minorHAnsi"/>
              </w:rPr>
              <w:t xml:space="preserve">$ </w:t>
            </w:r>
            <w:r w:rsidR="00E128D0">
              <w:rPr>
                <w:rFonts w:ascii="Cambria" w:hAnsi="Cambria" w:cstheme="minorHAnsi"/>
              </w:rPr>
              <w:t>1,598,155</w:t>
            </w:r>
          </w:p>
        </w:tc>
        <w:tc>
          <w:tcPr>
            <w:tcW w:w="2700" w:type="dxa"/>
            <w:shd w:val="clear" w:color="auto" w:fill="F0F0F0"/>
            <w:tcMar>
              <w:top w:w="150" w:type="dxa"/>
              <w:left w:w="150" w:type="dxa"/>
              <w:bottom w:w="150" w:type="dxa"/>
              <w:right w:w="150" w:type="dxa"/>
            </w:tcMar>
            <w:vAlign w:val="center"/>
            <w:hideMark/>
          </w:tcPr>
          <w:p w14:paraId="18468087" w14:textId="6CA3FAD1" w:rsidR="009D4ECC" w:rsidRPr="006B22AC" w:rsidRDefault="009D4ECC" w:rsidP="00AD025A">
            <w:pPr>
              <w:spacing w:after="0" w:line="240" w:lineRule="auto"/>
              <w:jc w:val="right"/>
              <w:rPr>
                <w:rFonts w:ascii="Cambria" w:hAnsi="Cambria" w:cstheme="minorHAnsi"/>
              </w:rPr>
            </w:pPr>
            <w:r w:rsidRPr="006B22AC">
              <w:rPr>
                <w:rFonts w:ascii="Cambria" w:hAnsi="Cambria" w:cstheme="minorHAnsi"/>
              </w:rPr>
              <w:t> </w:t>
            </w:r>
            <w:r w:rsidR="00E30692">
              <w:rPr>
                <w:rFonts w:ascii="Cambria" w:hAnsi="Cambria" w:cstheme="minorHAnsi"/>
              </w:rPr>
              <w:t xml:space="preserve">   $</w:t>
            </w:r>
            <w:r w:rsidR="00E128D0">
              <w:rPr>
                <w:rFonts w:ascii="Cambria" w:hAnsi="Cambria" w:cstheme="minorHAnsi"/>
              </w:rPr>
              <w:t>1,598,155</w:t>
            </w:r>
          </w:p>
        </w:tc>
      </w:tr>
      <w:tr w:rsidR="00E128D0" w:rsidRPr="006B22AC" w14:paraId="0B3449EC" w14:textId="77777777" w:rsidTr="008F396B">
        <w:trPr>
          <w:trHeight w:val="260"/>
        </w:trPr>
        <w:tc>
          <w:tcPr>
            <w:tcW w:w="3772" w:type="dxa"/>
            <w:shd w:val="clear" w:color="auto" w:fill="F0F0F0"/>
            <w:tcMar>
              <w:top w:w="150" w:type="dxa"/>
              <w:left w:w="150" w:type="dxa"/>
              <w:bottom w:w="150" w:type="dxa"/>
              <w:right w:w="150" w:type="dxa"/>
            </w:tcMar>
            <w:hideMark/>
          </w:tcPr>
          <w:p w14:paraId="78A9CEEE" w14:textId="6F4F07B9" w:rsidR="00E128D0" w:rsidRPr="006B22AC" w:rsidRDefault="00E128D0" w:rsidP="00646E37">
            <w:pPr>
              <w:spacing w:after="0" w:line="240" w:lineRule="auto"/>
              <w:jc w:val="both"/>
              <w:rPr>
                <w:rFonts w:ascii="Cambria" w:hAnsi="Cambria" w:cstheme="minorHAnsi"/>
              </w:rPr>
            </w:pPr>
            <w:r>
              <w:rPr>
                <w:rFonts w:ascii="Cambria" w:hAnsi="Cambria" w:cstheme="minorHAnsi"/>
              </w:rPr>
              <w:t>Napavine Municipal Court</w:t>
            </w:r>
          </w:p>
        </w:tc>
        <w:tc>
          <w:tcPr>
            <w:tcW w:w="2880" w:type="dxa"/>
            <w:tcMar>
              <w:top w:w="150" w:type="dxa"/>
              <w:left w:w="150" w:type="dxa"/>
              <w:bottom w:w="150" w:type="dxa"/>
              <w:right w:w="150" w:type="dxa"/>
            </w:tcMar>
            <w:vAlign w:val="center"/>
            <w:hideMark/>
          </w:tcPr>
          <w:p w14:paraId="25746F48" w14:textId="50AF2B8B" w:rsidR="00E128D0" w:rsidRPr="006B22AC" w:rsidRDefault="00E128D0" w:rsidP="00AD025A">
            <w:pPr>
              <w:spacing w:after="0" w:line="240" w:lineRule="auto"/>
              <w:jc w:val="right"/>
              <w:rPr>
                <w:rFonts w:ascii="Cambria" w:hAnsi="Cambria" w:cstheme="minorHAnsi"/>
              </w:rPr>
            </w:pPr>
            <w:r>
              <w:rPr>
                <w:rFonts w:ascii="Cambria" w:hAnsi="Cambria" w:cstheme="minorHAnsi"/>
              </w:rPr>
              <w:t>$   1,598,155</w:t>
            </w:r>
          </w:p>
        </w:tc>
        <w:tc>
          <w:tcPr>
            <w:tcW w:w="2700" w:type="dxa"/>
            <w:tcMar>
              <w:top w:w="150" w:type="dxa"/>
              <w:left w:w="150" w:type="dxa"/>
              <w:bottom w:w="150" w:type="dxa"/>
              <w:right w:w="150" w:type="dxa"/>
            </w:tcMar>
            <w:vAlign w:val="center"/>
            <w:hideMark/>
          </w:tcPr>
          <w:p w14:paraId="2253FD97" w14:textId="28762315" w:rsidR="00E128D0" w:rsidRPr="006B22AC" w:rsidRDefault="00E128D0" w:rsidP="00AD025A">
            <w:pPr>
              <w:spacing w:after="0" w:line="240" w:lineRule="auto"/>
              <w:jc w:val="right"/>
              <w:rPr>
                <w:rFonts w:ascii="Cambria" w:hAnsi="Cambria" w:cstheme="minorHAnsi"/>
              </w:rPr>
            </w:pPr>
            <w:r>
              <w:rPr>
                <w:rFonts w:ascii="Cambria" w:hAnsi="Cambria" w:cstheme="minorHAnsi"/>
              </w:rPr>
              <w:t xml:space="preserve">    $1,598,155</w:t>
            </w:r>
          </w:p>
        </w:tc>
      </w:tr>
      <w:tr w:rsidR="00E128D0" w:rsidRPr="006B22AC" w14:paraId="4FEE5ABD" w14:textId="77777777" w:rsidTr="008F396B">
        <w:trPr>
          <w:trHeight w:val="260"/>
        </w:trPr>
        <w:tc>
          <w:tcPr>
            <w:tcW w:w="3772" w:type="dxa"/>
            <w:tcMar>
              <w:top w:w="150" w:type="dxa"/>
              <w:left w:w="150" w:type="dxa"/>
              <w:bottom w:w="150" w:type="dxa"/>
              <w:right w:w="150" w:type="dxa"/>
            </w:tcMar>
            <w:hideMark/>
          </w:tcPr>
          <w:p w14:paraId="7004A1D2" w14:textId="7A2DC68B" w:rsidR="00E128D0" w:rsidRPr="006B22AC" w:rsidRDefault="00E128D0" w:rsidP="00E30692">
            <w:pPr>
              <w:spacing w:after="0" w:line="240" w:lineRule="auto"/>
              <w:jc w:val="both"/>
              <w:rPr>
                <w:rFonts w:ascii="Cambria" w:hAnsi="Cambria" w:cstheme="minorHAnsi"/>
              </w:rPr>
            </w:pPr>
            <w:r w:rsidRPr="006B22AC">
              <w:rPr>
                <w:rFonts w:ascii="Cambria" w:hAnsi="Cambria" w:cstheme="minorHAnsi"/>
                <w:b/>
                <w:bCs/>
              </w:rPr>
              <w:t>Total</w:t>
            </w:r>
          </w:p>
        </w:tc>
        <w:tc>
          <w:tcPr>
            <w:tcW w:w="2880" w:type="dxa"/>
            <w:shd w:val="clear" w:color="auto" w:fill="F0F0F0"/>
            <w:tcMar>
              <w:top w:w="150" w:type="dxa"/>
              <w:left w:w="150" w:type="dxa"/>
              <w:bottom w:w="150" w:type="dxa"/>
              <w:right w:w="150" w:type="dxa"/>
            </w:tcMar>
            <w:vAlign w:val="center"/>
            <w:hideMark/>
          </w:tcPr>
          <w:p w14:paraId="7CC0F33D" w14:textId="7C167737" w:rsidR="00E128D0" w:rsidRPr="006B22AC" w:rsidRDefault="00E128D0" w:rsidP="00AD025A">
            <w:pPr>
              <w:spacing w:after="0" w:line="240" w:lineRule="auto"/>
              <w:jc w:val="right"/>
              <w:rPr>
                <w:rFonts w:ascii="Cambria" w:hAnsi="Cambria" w:cstheme="minorHAnsi"/>
              </w:rPr>
            </w:pPr>
            <w:r>
              <w:rPr>
                <w:rFonts w:ascii="Cambria" w:hAnsi="Cambria" w:cstheme="minorHAnsi"/>
              </w:rPr>
              <w:t>$    6,470</w:t>
            </w:r>
          </w:p>
        </w:tc>
        <w:tc>
          <w:tcPr>
            <w:tcW w:w="2700" w:type="dxa"/>
            <w:shd w:val="clear" w:color="auto" w:fill="F0F0F0"/>
            <w:tcMar>
              <w:top w:w="150" w:type="dxa"/>
              <w:left w:w="150" w:type="dxa"/>
              <w:bottom w:w="150" w:type="dxa"/>
              <w:right w:w="150" w:type="dxa"/>
            </w:tcMar>
            <w:vAlign w:val="center"/>
            <w:hideMark/>
          </w:tcPr>
          <w:p w14:paraId="7157CA07" w14:textId="4AA875BF" w:rsidR="00E128D0" w:rsidRPr="006B22AC" w:rsidRDefault="00E128D0" w:rsidP="00AD025A">
            <w:pPr>
              <w:spacing w:after="0" w:line="240" w:lineRule="auto"/>
              <w:jc w:val="right"/>
              <w:rPr>
                <w:rFonts w:ascii="Cambria" w:hAnsi="Cambria" w:cstheme="minorHAnsi"/>
              </w:rPr>
            </w:pPr>
            <w:r w:rsidRPr="006B22AC">
              <w:rPr>
                <w:rFonts w:ascii="Cambria" w:hAnsi="Cambria" w:cstheme="minorHAnsi"/>
              </w:rPr>
              <w:t> </w:t>
            </w:r>
            <w:r>
              <w:rPr>
                <w:rFonts w:ascii="Cambria" w:hAnsi="Cambria" w:cstheme="minorHAnsi"/>
              </w:rPr>
              <w:t xml:space="preserve">          $6,470</w:t>
            </w:r>
          </w:p>
        </w:tc>
      </w:tr>
      <w:tr w:rsidR="00E128D0" w:rsidRPr="006B22AC" w14:paraId="3899D7C1" w14:textId="77777777" w:rsidTr="003D3087">
        <w:trPr>
          <w:trHeight w:val="260"/>
        </w:trPr>
        <w:tc>
          <w:tcPr>
            <w:tcW w:w="3772" w:type="dxa"/>
            <w:tcMar>
              <w:top w:w="150" w:type="dxa"/>
              <w:left w:w="150" w:type="dxa"/>
              <w:bottom w:w="150" w:type="dxa"/>
              <w:right w:w="150" w:type="dxa"/>
            </w:tcMar>
          </w:tcPr>
          <w:p w14:paraId="061BE998" w14:textId="719DED17" w:rsidR="00E128D0" w:rsidRPr="006B22AC" w:rsidRDefault="00E128D0" w:rsidP="00646E37">
            <w:pPr>
              <w:spacing w:after="0" w:line="240" w:lineRule="auto"/>
              <w:jc w:val="both"/>
              <w:rPr>
                <w:rFonts w:ascii="Cambria" w:hAnsi="Cambria" w:cstheme="minorHAnsi"/>
              </w:rPr>
            </w:pPr>
          </w:p>
        </w:tc>
        <w:tc>
          <w:tcPr>
            <w:tcW w:w="2880" w:type="dxa"/>
            <w:tcMar>
              <w:top w:w="150" w:type="dxa"/>
              <w:left w:w="150" w:type="dxa"/>
              <w:bottom w:w="150" w:type="dxa"/>
              <w:right w:w="150" w:type="dxa"/>
            </w:tcMar>
            <w:vAlign w:val="center"/>
            <w:hideMark/>
          </w:tcPr>
          <w:p w14:paraId="77DD1307" w14:textId="203F09F4" w:rsidR="00E128D0" w:rsidRPr="006B22AC" w:rsidRDefault="00E128D0" w:rsidP="00AD025A">
            <w:pPr>
              <w:spacing w:after="0" w:line="240" w:lineRule="auto"/>
              <w:jc w:val="right"/>
              <w:rPr>
                <w:rFonts w:ascii="Cambria" w:hAnsi="Cambria" w:cstheme="minorHAnsi"/>
              </w:rPr>
            </w:pPr>
            <w:r>
              <w:rPr>
                <w:rFonts w:ascii="Cambria" w:hAnsi="Cambria" w:cstheme="minorHAnsi"/>
                <w:b/>
                <w:bCs/>
              </w:rPr>
              <w:t>$5,976,096</w:t>
            </w:r>
          </w:p>
        </w:tc>
        <w:tc>
          <w:tcPr>
            <w:tcW w:w="2700" w:type="dxa"/>
            <w:tcMar>
              <w:top w:w="150" w:type="dxa"/>
              <w:left w:w="150" w:type="dxa"/>
              <w:bottom w:w="150" w:type="dxa"/>
              <w:right w:w="150" w:type="dxa"/>
            </w:tcMar>
            <w:vAlign w:val="center"/>
            <w:hideMark/>
          </w:tcPr>
          <w:p w14:paraId="062AF230" w14:textId="3D042965" w:rsidR="00E128D0" w:rsidRPr="00E30692" w:rsidRDefault="00E128D0" w:rsidP="00E128D0">
            <w:pPr>
              <w:spacing w:after="0" w:line="240" w:lineRule="auto"/>
              <w:jc w:val="center"/>
              <w:rPr>
                <w:rFonts w:ascii="Cambria" w:hAnsi="Cambria" w:cstheme="minorHAnsi"/>
                <w:b/>
                <w:bCs/>
              </w:rPr>
            </w:pPr>
            <w:r>
              <w:rPr>
                <w:rFonts w:ascii="Cambria" w:hAnsi="Cambria" w:cstheme="minorHAnsi"/>
                <w:b/>
                <w:bCs/>
              </w:rPr>
              <w:t>$5,976,096</w:t>
            </w:r>
          </w:p>
        </w:tc>
      </w:tr>
    </w:tbl>
    <w:p w14:paraId="4F708EF9" w14:textId="77777777" w:rsidR="00E30692" w:rsidRDefault="00E30692" w:rsidP="00646E37">
      <w:pPr>
        <w:spacing w:after="0" w:line="240" w:lineRule="auto"/>
        <w:jc w:val="both"/>
        <w:rPr>
          <w:rFonts w:ascii="Cambria" w:hAnsi="Cambria" w:cstheme="minorHAnsi"/>
        </w:rPr>
      </w:pPr>
    </w:p>
    <w:p w14:paraId="6A2BFD35" w14:textId="2EAEE4AD" w:rsidR="006B22AC" w:rsidRDefault="006B22AC" w:rsidP="00646E37">
      <w:pPr>
        <w:spacing w:after="0" w:line="240" w:lineRule="auto"/>
        <w:jc w:val="both"/>
        <w:rPr>
          <w:rFonts w:ascii="Cambria" w:hAnsi="Cambria" w:cstheme="minorHAnsi"/>
        </w:rPr>
      </w:pPr>
      <w:r w:rsidRPr="006B22AC">
        <w:rPr>
          <w:rFonts w:ascii="Cambria" w:hAnsi="Cambria" w:cstheme="minorHAnsi"/>
        </w:rPr>
        <w:t xml:space="preserve">It is the </w:t>
      </w:r>
      <w:r w:rsidR="00E30692">
        <w:rPr>
          <w:rFonts w:ascii="Cambria" w:hAnsi="Cambria" w:cstheme="minorHAnsi"/>
        </w:rPr>
        <w:t xml:space="preserve">City of </w:t>
      </w:r>
      <w:proofErr w:type="spellStart"/>
      <w:r w:rsidR="00E30692">
        <w:rPr>
          <w:rFonts w:ascii="Cambria" w:hAnsi="Cambria" w:cstheme="minorHAnsi"/>
        </w:rPr>
        <w:t>Napavine’s</w:t>
      </w:r>
      <w:proofErr w:type="spellEnd"/>
      <w:r w:rsidRPr="006B22AC">
        <w:rPr>
          <w:rFonts w:ascii="Cambria" w:hAnsi="Cambria" w:cstheme="minorHAnsi"/>
        </w:rPr>
        <w:t xml:space="preserve"> policy to invest all temporary cash surpluses. The interest on these investments is prorated </w:t>
      </w:r>
      <w:r w:rsidR="0074518E">
        <w:rPr>
          <w:rFonts w:ascii="Cambria" w:hAnsi="Cambria" w:cstheme="minorHAnsi"/>
        </w:rPr>
        <w:t xml:space="preserve">based on contribution </w:t>
      </w:r>
      <w:r w:rsidRPr="006B22AC">
        <w:rPr>
          <w:rFonts w:ascii="Cambria" w:hAnsi="Cambria" w:cstheme="minorHAnsi"/>
        </w:rPr>
        <w:t>to the various funds</w:t>
      </w:r>
      <w:r w:rsidR="00AD025A">
        <w:rPr>
          <w:rFonts w:ascii="Cambria" w:hAnsi="Cambria" w:cstheme="minorHAnsi"/>
        </w:rPr>
        <w:t>.</w:t>
      </w:r>
    </w:p>
    <w:p w14:paraId="045E5079" w14:textId="63B4D816" w:rsidR="0074518E" w:rsidRDefault="0074518E" w:rsidP="00646E37">
      <w:pPr>
        <w:spacing w:after="0" w:line="240" w:lineRule="auto"/>
        <w:jc w:val="both"/>
        <w:rPr>
          <w:rFonts w:ascii="Cambria" w:hAnsi="Cambria" w:cstheme="minorHAnsi"/>
        </w:rPr>
      </w:pPr>
    </w:p>
    <w:p w14:paraId="349DCBEC" w14:textId="1BBEDE2E" w:rsidR="006B22AC" w:rsidRDefault="006B22AC" w:rsidP="00646E37">
      <w:pPr>
        <w:spacing w:after="0" w:line="240" w:lineRule="auto"/>
        <w:jc w:val="both"/>
        <w:rPr>
          <w:rFonts w:ascii="Cambria" w:hAnsi="Cambria" w:cstheme="minorHAnsi"/>
        </w:rPr>
      </w:pPr>
      <w:r w:rsidRPr="006B22AC">
        <w:rPr>
          <w:rFonts w:ascii="Cambria" w:hAnsi="Cambria" w:cstheme="minorHAnsi"/>
        </w:rPr>
        <w:t>Investments in the State Local Government Investment Pool (LGIP)</w:t>
      </w:r>
    </w:p>
    <w:p w14:paraId="24530365" w14:textId="77777777" w:rsidR="00AD025A" w:rsidRPr="006B22AC" w:rsidRDefault="00AD025A" w:rsidP="00646E37">
      <w:pPr>
        <w:spacing w:after="0" w:line="240" w:lineRule="auto"/>
        <w:jc w:val="both"/>
        <w:rPr>
          <w:rFonts w:ascii="Cambria" w:hAnsi="Cambria" w:cstheme="minorHAnsi"/>
        </w:rPr>
      </w:pPr>
    </w:p>
    <w:p w14:paraId="24A4E544" w14:textId="04FEBEAD" w:rsidR="006B22AC" w:rsidRPr="006B22AC" w:rsidRDefault="006B22AC" w:rsidP="00646E37">
      <w:pPr>
        <w:spacing w:after="0" w:line="240" w:lineRule="auto"/>
        <w:jc w:val="both"/>
        <w:rPr>
          <w:rFonts w:ascii="Cambria" w:hAnsi="Cambria" w:cstheme="minorHAnsi"/>
        </w:rPr>
      </w:pPr>
      <w:r w:rsidRPr="006B22AC">
        <w:rPr>
          <w:rFonts w:ascii="Cambria" w:hAnsi="Cambria" w:cstheme="minorHAnsi"/>
        </w:rPr>
        <w:t xml:space="preserve">The </w:t>
      </w:r>
      <w:r w:rsidR="00124A90">
        <w:rPr>
          <w:rFonts w:ascii="Cambria" w:hAnsi="Cambria" w:cstheme="minorHAnsi"/>
        </w:rPr>
        <w:t>City of Napavine</w:t>
      </w:r>
      <w:r w:rsidRPr="006B22AC">
        <w:rPr>
          <w:rFonts w:ascii="Cambria" w:hAnsi="Cambria" w:cstheme="minorHAnsi"/>
        </w:rPr>
        <w:t xml:space="preserve"> is a voluntary participant in the Local Government Investment Pool, an external investment pool operated by the Washington State Treasurer.  The pool is not rated and not registered with the SEC.  Rather, oversight is provided by the State Finance Committee in accordance with </w:t>
      </w:r>
      <w:hyperlink r:id="rId12" w:history="1">
        <w:r w:rsidRPr="00AD025A">
          <w:rPr>
            <w:rStyle w:val="Hyperlink"/>
            <w:rFonts w:ascii="Cambria" w:hAnsi="Cambria" w:cstheme="minorHAnsi"/>
            <w:color w:val="auto"/>
          </w:rPr>
          <w:t>Chapter 43.250 RCW</w:t>
        </w:r>
      </w:hyperlink>
      <w:r w:rsidRPr="006B22AC">
        <w:rPr>
          <w:rFonts w:ascii="Cambria" w:hAnsi="Cambria" w:cstheme="minorHAnsi"/>
        </w:rPr>
        <w:t>.  Investments in the LGIP are reported at amortized cost, which is the same as the value of the pool per share.  The LGIP does not impose any restrictions on participant withdrawals.</w:t>
      </w:r>
    </w:p>
    <w:p w14:paraId="71EBA9B0" w14:textId="77777777" w:rsidR="00124A90" w:rsidRDefault="00124A90" w:rsidP="00646E37">
      <w:pPr>
        <w:spacing w:after="0" w:line="240" w:lineRule="auto"/>
        <w:jc w:val="both"/>
        <w:rPr>
          <w:rFonts w:ascii="Cambria" w:hAnsi="Cambria" w:cstheme="minorHAnsi"/>
        </w:rPr>
      </w:pPr>
    </w:p>
    <w:p w14:paraId="64FC34F2" w14:textId="3BE59757" w:rsidR="006B22AC" w:rsidRPr="006B22AC" w:rsidRDefault="006B22AC" w:rsidP="00646E37">
      <w:pPr>
        <w:spacing w:after="0" w:line="240" w:lineRule="auto"/>
        <w:jc w:val="both"/>
        <w:rPr>
          <w:rFonts w:ascii="Cambria" w:hAnsi="Cambria" w:cstheme="minorHAnsi"/>
        </w:rPr>
      </w:pPr>
      <w:r w:rsidRPr="006B22AC">
        <w:rPr>
          <w:rFonts w:ascii="Cambria" w:hAnsi="Cambria" w:cstheme="minorHAnsi"/>
        </w:rPr>
        <w:t>The Office of the State Treasurer prepares a stand-alone financial report for the pool.  A copy of the report is available from the Office of the State Treasurer, PO Box 40200, Olympia, Washington 98504-0200, online at </w:t>
      </w:r>
      <w:hyperlink r:id="rId13" w:history="1">
        <w:r w:rsidRPr="00AD025A">
          <w:rPr>
            <w:rStyle w:val="Hyperlink"/>
            <w:rFonts w:ascii="Cambria" w:hAnsi="Cambria" w:cstheme="minorHAnsi"/>
            <w:color w:val="auto"/>
          </w:rPr>
          <w:t>www.tre.wa.gov</w:t>
        </w:r>
      </w:hyperlink>
      <w:r w:rsidRPr="00AD025A">
        <w:rPr>
          <w:rFonts w:ascii="Cambria" w:hAnsi="Cambria" w:cstheme="minorHAnsi"/>
        </w:rPr>
        <w:t>.</w:t>
      </w:r>
    </w:p>
    <w:p w14:paraId="5EDB7313" w14:textId="77777777" w:rsidR="001F54DE" w:rsidRDefault="001F54DE" w:rsidP="00646E37">
      <w:pPr>
        <w:spacing w:after="0" w:line="240" w:lineRule="auto"/>
        <w:jc w:val="both"/>
        <w:rPr>
          <w:rFonts w:ascii="Cambria" w:hAnsi="Cambria" w:cstheme="minorHAnsi"/>
        </w:rPr>
      </w:pPr>
    </w:p>
    <w:p w14:paraId="52F46B79" w14:textId="2F2D8BD2" w:rsidR="006B22AC" w:rsidRPr="006B22AC" w:rsidRDefault="006B22AC" w:rsidP="00646E37">
      <w:pPr>
        <w:spacing w:after="0" w:line="240" w:lineRule="auto"/>
        <w:jc w:val="both"/>
        <w:rPr>
          <w:rFonts w:ascii="Cambria" w:hAnsi="Cambria" w:cstheme="minorHAnsi"/>
        </w:rPr>
      </w:pPr>
      <w:r w:rsidRPr="006B22AC">
        <w:rPr>
          <w:rFonts w:ascii="Cambria" w:hAnsi="Cambria" w:cstheme="minorHAnsi"/>
        </w:rPr>
        <w:t>Custodial Credit Risk </w:t>
      </w:r>
    </w:p>
    <w:p w14:paraId="05CBCFB6" w14:textId="7553F4B2" w:rsidR="006B22AC" w:rsidRPr="006B22AC" w:rsidRDefault="006B22AC" w:rsidP="00646E37">
      <w:pPr>
        <w:spacing w:after="0" w:line="240" w:lineRule="auto"/>
        <w:jc w:val="both"/>
        <w:rPr>
          <w:rFonts w:ascii="Cambria" w:hAnsi="Cambria" w:cstheme="minorHAnsi"/>
        </w:rPr>
      </w:pPr>
      <w:r w:rsidRPr="006B22AC">
        <w:rPr>
          <w:rFonts w:ascii="Cambria" w:hAnsi="Cambria" w:cstheme="minorHAnsi"/>
        </w:rPr>
        <w:t xml:space="preserve">Custodial credit risk for deposits is the risk that, in event of a failure of a depository financial institution, the </w:t>
      </w:r>
      <w:r w:rsidR="00E3095F">
        <w:rPr>
          <w:rFonts w:ascii="Cambria" w:hAnsi="Cambria" w:cstheme="minorHAnsi"/>
        </w:rPr>
        <w:t>City of Napavine</w:t>
      </w:r>
      <w:r w:rsidRPr="006B22AC">
        <w:rPr>
          <w:rFonts w:ascii="Cambria" w:hAnsi="Cambria" w:cstheme="minorHAnsi"/>
        </w:rPr>
        <w:t xml:space="preserve"> would not be able to recover deposits or would not be able to recover collateral securities that are in possession of an outside party. The </w:t>
      </w:r>
      <w:r w:rsidR="00E3095F">
        <w:rPr>
          <w:rFonts w:ascii="Cambria" w:hAnsi="Cambria" w:cstheme="minorHAnsi"/>
        </w:rPr>
        <w:t xml:space="preserve">City of </w:t>
      </w:r>
      <w:r w:rsidR="00E07C38">
        <w:rPr>
          <w:rFonts w:ascii="Cambria" w:hAnsi="Cambria" w:cstheme="minorHAnsi"/>
        </w:rPr>
        <w:t>Napavine</w:t>
      </w:r>
      <w:r w:rsidRPr="006B22AC">
        <w:rPr>
          <w:rFonts w:ascii="Cambria" w:hAnsi="Cambria" w:cstheme="minorHAnsi"/>
        </w:rPr>
        <w:t xml:space="preserve"> deposits and certificates of deposit are mostly covered by federal depository insurance (FDIC) or by collateral held in a multiple financial institution collateral pool administered by the Washington Public Deposit Protection Commission (PDPC).</w:t>
      </w:r>
    </w:p>
    <w:p w14:paraId="2E8EC2BE" w14:textId="77777777" w:rsidR="00E3095F" w:rsidRDefault="00E3095F" w:rsidP="00646E37">
      <w:pPr>
        <w:spacing w:after="0" w:line="240" w:lineRule="auto"/>
        <w:jc w:val="both"/>
        <w:rPr>
          <w:rFonts w:ascii="Cambria" w:hAnsi="Cambria" w:cstheme="minorHAnsi"/>
        </w:rPr>
      </w:pPr>
    </w:p>
    <w:p w14:paraId="76EC28EB" w14:textId="1E6563F3" w:rsidR="006B22AC" w:rsidRPr="006B22AC" w:rsidRDefault="006B22AC" w:rsidP="00646E37">
      <w:pPr>
        <w:spacing w:after="0" w:line="240" w:lineRule="auto"/>
        <w:jc w:val="both"/>
        <w:rPr>
          <w:rFonts w:ascii="Cambria" w:hAnsi="Cambria" w:cstheme="minorHAnsi"/>
        </w:rPr>
      </w:pPr>
      <w:r w:rsidRPr="006B22AC">
        <w:rPr>
          <w:rFonts w:ascii="Cambria" w:hAnsi="Cambria" w:cstheme="minorHAnsi"/>
        </w:rPr>
        <w:lastRenderedPageBreak/>
        <w:t xml:space="preserve">All investments are insured, registered or held by the </w:t>
      </w:r>
      <w:r w:rsidR="00E3095F">
        <w:rPr>
          <w:rFonts w:ascii="Cambria" w:hAnsi="Cambria" w:cstheme="minorHAnsi"/>
        </w:rPr>
        <w:t>City of Napavine</w:t>
      </w:r>
      <w:r w:rsidRPr="006B22AC">
        <w:rPr>
          <w:rFonts w:ascii="Cambria" w:hAnsi="Cambria" w:cstheme="minorHAnsi"/>
        </w:rPr>
        <w:t xml:space="preserve"> or its agent in the government’s name.</w:t>
      </w:r>
    </w:p>
    <w:p w14:paraId="426AEA94" w14:textId="77777777" w:rsidR="00E3095F" w:rsidRDefault="00E3095F" w:rsidP="00646E37">
      <w:pPr>
        <w:spacing w:after="0" w:line="240" w:lineRule="auto"/>
        <w:jc w:val="both"/>
        <w:rPr>
          <w:rFonts w:ascii="Cambria" w:hAnsi="Cambria" w:cstheme="minorHAnsi"/>
        </w:rPr>
      </w:pPr>
    </w:p>
    <w:p w14:paraId="5CEABB3A" w14:textId="750FF950" w:rsidR="006B22AC" w:rsidRPr="00AB0AC3" w:rsidRDefault="006B22AC" w:rsidP="00646E37">
      <w:pPr>
        <w:spacing w:after="0" w:line="240" w:lineRule="auto"/>
        <w:jc w:val="both"/>
        <w:rPr>
          <w:rStyle w:val="Hyperlink"/>
          <w:rFonts w:ascii="Cambria" w:hAnsi="Cambria" w:cstheme="minorHAnsi"/>
          <w:b/>
          <w:bCs/>
        </w:rPr>
      </w:pPr>
      <w:r w:rsidRPr="00AB0AC3">
        <w:rPr>
          <w:rFonts w:ascii="Cambria" w:hAnsi="Cambria" w:cstheme="minorHAnsi"/>
          <w:u w:val="single"/>
        </w:rPr>
        <w:t>Other Disclosures </w:t>
      </w:r>
    </w:p>
    <w:p w14:paraId="532881AA" w14:textId="54032AAD" w:rsidR="00E3095F" w:rsidRDefault="00E3095F" w:rsidP="00646E37">
      <w:pPr>
        <w:spacing w:after="0" w:line="240" w:lineRule="auto"/>
        <w:jc w:val="both"/>
        <w:rPr>
          <w:rStyle w:val="Hyperlink"/>
          <w:rFonts w:ascii="Cambria" w:hAnsi="Cambria" w:cstheme="minorHAnsi"/>
          <w:b/>
          <w:bCs/>
        </w:rPr>
      </w:pPr>
    </w:p>
    <w:p w14:paraId="18891979" w14:textId="3A5D6025" w:rsidR="00E3095F" w:rsidRPr="005A4941" w:rsidRDefault="005A4941" w:rsidP="00646E37">
      <w:pPr>
        <w:spacing w:after="0" w:line="240" w:lineRule="auto"/>
        <w:jc w:val="both"/>
        <w:rPr>
          <w:rStyle w:val="Hyperlink"/>
          <w:rFonts w:ascii="Cambria" w:hAnsi="Cambria" w:cstheme="minorHAnsi"/>
          <w:color w:val="auto"/>
          <w:u w:val="none"/>
        </w:rPr>
      </w:pPr>
      <w:r w:rsidRPr="005A4941">
        <w:rPr>
          <w:rStyle w:val="Hyperlink"/>
          <w:rFonts w:ascii="Cambria" w:hAnsi="Cambria" w:cstheme="minorHAnsi"/>
          <w:color w:val="auto"/>
          <w:u w:val="none"/>
        </w:rPr>
        <w:t xml:space="preserve">The </w:t>
      </w:r>
      <w:r>
        <w:rPr>
          <w:rStyle w:val="Hyperlink"/>
          <w:rFonts w:ascii="Cambria" w:hAnsi="Cambria" w:cstheme="minorHAnsi"/>
          <w:color w:val="auto"/>
          <w:u w:val="none"/>
        </w:rPr>
        <w:t xml:space="preserve">City of </w:t>
      </w:r>
      <w:proofErr w:type="spellStart"/>
      <w:r>
        <w:rPr>
          <w:rStyle w:val="Hyperlink"/>
          <w:rFonts w:ascii="Cambria" w:hAnsi="Cambria" w:cstheme="minorHAnsi"/>
          <w:color w:val="auto"/>
          <w:u w:val="none"/>
        </w:rPr>
        <w:t>Napavine’s</w:t>
      </w:r>
      <w:proofErr w:type="spellEnd"/>
      <w:r>
        <w:rPr>
          <w:rStyle w:val="Hyperlink"/>
          <w:rFonts w:ascii="Cambria" w:hAnsi="Cambria" w:cstheme="minorHAnsi"/>
          <w:color w:val="auto"/>
          <w:u w:val="none"/>
        </w:rPr>
        <w:t xml:space="preserve"> bank requires a government to maintain a predetermined average daily balance in a noninterest bearing bank account to compensate the bank for handling the government’s bank services. The city must maintain a balance to cover the various fees for all the services the bank institution provides for the city to avoid bank fees for each month. The bank provides an Account Analysis Statement each month showing the balance required for the services provided with a total analyzed fee and the amount of investable balances to offset service fees. The analyzed results are based on earnings credit earned at </w:t>
      </w:r>
      <w:r w:rsidR="00E07C38">
        <w:rPr>
          <w:rStyle w:val="Hyperlink"/>
          <w:rFonts w:ascii="Cambria" w:hAnsi="Cambria" w:cstheme="minorHAnsi"/>
          <w:color w:val="auto"/>
          <w:u w:val="none"/>
        </w:rPr>
        <w:t>0.25% of the investable balance less the analyzed fees equal the analyz</w:t>
      </w:r>
      <w:r w:rsidR="00E07C38" w:rsidRPr="009F0649">
        <w:rPr>
          <w:rStyle w:val="Hyperlink"/>
          <w:rFonts w:ascii="Cambria" w:hAnsi="Cambria" w:cstheme="minorHAnsi"/>
          <w:color w:val="auto"/>
          <w:u w:val="none"/>
        </w:rPr>
        <w:t>ed results.  The City of Napavine maintained an</w:t>
      </w:r>
      <w:r w:rsidR="00C21ECF" w:rsidRPr="009F0649">
        <w:rPr>
          <w:rStyle w:val="Hyperlink"/>
          <w:rFonts w:ascii="Cambria" w:hAnsi="Cambria" w:cstheme="minorHAnsi"/>
          <w:color w:val="auto"/>
          <w:u w:val="none"/>
        </w:rPr>
        <w:t xml:space="preserve"> </w:t>
      </w:r>
      <w:r w:rsidR="00C21ECF" w:rsidRPr="009F0649">
        <w:rPr>
          <w:rStyle w:val="Hyperlink"/>
          <w:rFonts w:ascii="Cambria" w:hAnsi="Cambria" w:cstheme="minorHAnsi"/>
          <w:i/>
          <w:iCs/>
          <w:color w:val="auto"/>
        </w:rPr>
        <w:t>average</w:t>
      </w:r>
      <w:r w:rsidR="00E07C38" w:rsidRPr="009F0649">
        <w:rPr>
          <w:rStyle w:val="Hyperlink"/>
          <w:rFonts w:ascii="Cambria" w:hAnsi="Cambria" w:cstheme="minorHAnsi"/>
          <w:color w:val="auto"/>
          <w:u w:val="none"/>
        </w:rPr>
        <w:t xml:space="preserve"> investable balance in the of </w:t>
      </w:r>
      <w:r w:rsidR="00081BDD" w:rsidRPr="009F0649">
        <w:rPr>
          <w:rStyle w:val="Hyperlink"/>
          <w:rFonts w:ascii="Cambria" w:hAnsi="Cambria" w:cstheme="minorHAnsi"/>
          <w:color w:val="auto"/>
          <w:u w:val="none"/>
        </w:rPr>
        <w:t>$</w:t>
      </w:r>
      <w:r w:rsidR="009F0649" w:rsidRPr="009F0649">
        <w:rPr>
          <w:rStyle w:val="Hyperlink"/>
          <w:rFonts w:ascii="Cambria" w:hAnsi="Cambria" w:cstheme="minorHAnsi"/>
          <w:color w:val="auto"/>
          <w:u w:val="none"/>
        </w:rPr>
        <w:t>5</w:t>
      </w:r>
      <w:r w:rsidR="00E128D0">
        <w:rPr>
          <w:rStyle w:val="Hyperlink"/>
          <w:rFonts w:ascii="Cambria" w:hAnsi="Cambria" w:cstheme="minorHAnsi"/>
          <w:color w:val="auto"/>
          <w:u w:val="none"/>
        </w:rPr>
        <w:t>3,766,413.02</w:t>
      </w:r>
      <w:r w:rsidR="00E07C38" w:rsidRPr="009F0649">
        <w:rPr>
          <w:rStyle w:val="Hyperlink"/>
          <w:rFonts w:ascii="Cambria" w:hAnsi="Cambria" w:cstheme="minorHAnsi"/>
          <w:color w:val="auto"/>
          <w:u w:val="none"/>
        </w:rPr>
        <w:t xml:space="preserve"> with a</w:t>
      </w:r>
      <w:r w:rsidR="00C21ECF" w:rsidRPr="009F0649">
        <w:rPr>
          <w:rStyle w:val="Hyperlink"/>
          <w:rFonts w:ascii="Cambria" w:hAnsi="Cambria" w:cstheme="minorHAnsi"/>
          <w:color w:val="auto"/>
          <w:u w:val="none"/>
        </w:rPr>
        <w:t>n average</w:t>
      </w:r>
      <w:r w:rsidR="00E07C38" w:rsidRPr="009F0649">
        <w:rPr>
          <w:rStyle w:val="Hyperlink"/>
          <w:rFonts w:ascii="Cambria" w:hAnsi="Cambria" w:cstheme="minorHAnsi"/>
          <w:color w:val="auto"/>
          <w:u w:val="none"/>
        </w:rPr>
        <w:t xml:space="preserve"> balance required for services in the amount of $</w:t>
      </w:r>
      <w:r w:rsidR="00E128D0">
        <w:rPr>
          <w:rStyle w:val="Hyperlink"/>
          <w:rFonts w:ascii="Cambria" w:hAnsi="Cambria" w:cstheme="minorHAnsi"/>
          <w:color w:val="auto"/>
          <w:u w:val="none"/>
        </w:rPr>
        <w:t>3,227,127.82</w:t>
      </w:r>
      <w:r w:rsidR="00E07C38" w:rsidRPr="009F0649">
        <w:rPr>
          <w:rStyle w:val="Hyperlink"/>
          <w:rFonts w:ascii="Cambria" w:hAnsi="Cambria" w:cstheme="minorHAnsi"/>
          <w:color w:val="auto"/>
          <w:u w:val="none"/>
        </w:rPr>
        <w:t xml:space="preserve"> </w:t>
      </w:r>
      <w:r w:rsidR="00CE328C" w:rsidRPr="009F0649">
        <w:rPr>
          <w:rStyle w:val="Hyperlink"/>
          <w:rFonts w:ascii="Cambria" w:hAnsi="Cambria" w:cstheme="minorHAnsi"/>
          <w:color w:val="auto"/>
          <w:u w:val="none"/>
        </w:rPr>
        <w:t>with an excess</w:t>
      </w:r>
      <w:r w:rsidR="00CE328C">
        <w:rPr>
          <w:rStyle w:val="Hyperlink"/>
          <w:rFonts w:ascii="Cambria" w:hAnsi="Cambria" w:cstheme="minorHAnsi"/>
          <w:color w:val="auto"/>
          <w:u w:val="none"/>
        </w:rPr>
        <w:t xml:space="preserve"> balance in the amount of $</w:t>
      </w:r>
      <w:r w:rsidR="00E128D0">
        <w:rPr>
          <w:rStyle w:val="Hyperlink"/>
          <w:rFonts w:ascii="Cambria" w:hAnsi="Cambria" w:cstheme="minorHAnsi"/>
          <w:color w:val="auto"/>
          <w:u w:val="none"/>
        </w:rPr>
        <w:t>539,285.20</w:t>
      </w:r>
      <w:r w:rsidR="00CE328C">
        <w:rPr>
          <w:rStyle w:val="Hyperlink"/>
          <w:rFonts w:ascii="Cambria" w:hAnsi="Cambria" w:cstheme="minorHAnsi"/>
          <w:color w:val="auto"/>
          <w:u w:val="none"/>
        </w:rPr>
        <w:t>.</w:t>
      </w:r>
      <w:r w:rsidR="00C21ECF">
        <w:rPr>
          <w:rStyle w:val="Hyperlink"/>
          <w:rFonts w:ascii="Cambria" w:hAnsi="Cambria" w:cstheme="minorHAnsi"/>
          <w:color w:val="auto"/>
          <w:u w:val="none"/>
        </w:rPr>
        <w:t xml:space="preserve"> The average monthly analyzed fees for 202</w:t>
      </w:r>
      <w:r w:rsidR="00E128D0">
        <w:rPr>
          <w:rStyle w:val="Hyperlink"/>
          <w:rFonts w:ascii="Cambria" w:hAnsi="Cambria" w:cstheme="minorHAnsi"/>
          <w:color w:val="auto"/>
          <w:u w:val="none"/>
        </w:rPr>
        <w:t>4</w:t>
      </w:r>
      <w:r w:rsidR="00C21ECF">
        <w:rPr>
          <w:rStyle w:val="Hyperlink"/>
          <w:rFonts w:ascii="Cambria" w:hAnsi="Cambria" w:cstheme="minorHAnsi"/>
          <w:color w:val="auto"/>
          <w:u w:val="none"/>
        </w:rPr>
        <w:t xml:space="preserve"> </w:t>
      </w:r>
      <w:proofErr w:type="gramStart"/>
      <w:r w:rsidR="00C21ECF">
        <w:rPr>
          <w:rStyle w:val="Hyperlink"/>
          <w:rFonts w:ascii="Cambria" w:hAnsi="Cambria" w:cstheme="minorHAnsi"/>
          <w:color w:val="auto"/>
          <w:u w:val="none"/>
        </w:rPr>
        <w:t>was</w:t>
      </w:r>
      <w:proofErr w:type="gramEnd"/>
      <w:r w:rsidR="00C21ECF">
        <w:rPr>
          <w:rStyle w:val="Hyperlink"/>
          <w:rFonts w:ascii="Cambria" w:hAnsi="Cambria" w:cstheme="minorHAnsi"/>
          <w:color w:val="auto"/>
          <w:u w:val="none"/>
        </w:rPr>
        <w:t xml:space="preserve"> $</w:t>
      </w:r>
      <w:r w:rsidR="00E128D0">
        <w:rPr>
          <w:rStyle w:val="Hyperlink"/>
          <w:rFonts w:ascii="Cambria" w:hAnsi="Cambria" w:cstheme="minorHAnsi"/>
          <w:color w:val="auto"/>
          <w:u w:val="none"/>
        </w:rPr>
        <w:t>772</w:t>
      </w:r>
      <w:r w:rsidR="00C21ECF">
        <w:rPr>
          <w:rStyle w:val="Hyperlink"/>
          <w:rFonts w:ascii="Cambria" w:hAnsi="Cambria" w:cstheme="minorHAnsi"/>
          <w:color w:val="auto"/>
          <w:u w:val="none"/>
        </w:rPr>
        <w:t>.</w:t>
      </w:r>
    </w:p>
    <w:p w14:paraId="5BD89816" w14:textId="77777777" w:rsidR="00E3095F" w:rsidRPr="006B22AC" w:rsidRDefault="00E3095F" w:rsidP="00646E37">
      <w:pPr>
        <w:spacing w:after="0" w:line="240" w:lineRule="auto"/>
        <w:jc w:val="both"/>
        <w:rPr>
          <w:rFonts w:ascii="Cambria" w:hAnsi="Cambria" w:cstheme="minorHAnsi"/>
        </w:rPr>
      </w:pPr>
    </w:p>
    <w:p w14:paraId="073F406D" w14:textId="1D94EC03" w:rsidR="006B22AC" w:rsidRPr="008D4B6C" w:rsidRDefault="00731141" w:rsidP="00646E37">
      <w:pPr>
        <w:spacing w:after="0" w:line="240" w:lineRule="auto"/>
        <w:jc w:val="both"/>
        <w:rPr>
          <w:rFonts w:ascii="Cambria" w:hAnsi="Cambria" w:cstheme="minorHAnsi"/>
          <w:b/>
          <w:bCs/>
        </w:rPr>
      </w:pPr>
      <w:r w:rsidRPr="008D4B6C">
        <w:rPr>
          <w:rFonts w:ascii="Cambria" w:hAnsi="Cambria" w:cstheme="minorHAnsi"/>
          <w:b/>
          <w:bCs/>
        </w:rPr>
        <w:t xml:space="preserve">Note </w:t>
      </w:r>
      <w:r w:rsidR="002B5E90">
        <w:rPr>
          <w:rFonts w:ascii="Cambria" w:hAnsi="Cambria" w:cstheme="minorHAnsi"/>
          <w:b/>
          <w:bCs/>
        </w:rPr>
        <w:t>4</w:t>
      </w:r>
      <w:r w:rsidRPr="008D4B6C">
        <w:rPr>
          <w:rFonts w:ascii="Cambria" w:hAnsi="Cambria" w:cstheme="minorHAnsi"/>
          <w:b/>
          <w:bCs/>
        </w:rPr>
        <w:t xml:space="preserve"> – Environmental and Certain Asset Retirement Liabilities</w:t>
      </w:r>
    </w:p>
    <w:p w14:paraId="59DC45A9" w14:textId="77777777" w:rsidR="005D507C" w:rsidRPr="008D4B6C" w:rsidRDefault="005D507C" w:rsidP="00646E37">
      <w:pPr>
        <w:spacing w:after="0" w:line="240" w:lineRule="auto"/>
        <w:jc w:val="both"/>
        <w:rPr>
          <w:rFonts w:ascii="Cambria" w:hAnsi="Cambria" w:cstheme="minorHAnsi"/>
        </w:rPr>
      </w:pPr>
    </w:p>
    <w:p w14:paraId="2FBD3D4C" w14:textId="0B6295F5" w:rsidR="00731141" w:rsidRDefault="005D507C" w:rsidP="00646E37">
      <w:pPr>
        <w:spacing w:after="0" w:line="240" w:lineRule="auto"/>
        <w:jc w:val="both"/>
        <w:rPr>
          <w:rFonts w:ascii="Cambria" w:hAnsi="Cambria" w:cstheme="minorHAnsi"/>
        </w:rPr>
      </w:pPr>
      <w:r w:rsidRPr="008D4B6C">
        <w:rPr>
          <w:rFonts w:ascii="Cambria" w:hAnsi="Cambria" w:cstheme="minorHAnsi"/>
        </w:rPr>
        <w:t xml:space="preserve">The City of Napavine has </w:t>
      </w:r>
      <w:r w:rsidR="008D4B6C" w:rsidRPr="008D4B6C">
        <w:rPr>
          <w:rFonts w:ascii="Cambria" w:hAnsi="Cambria" w:cstheme="minorHAnsi"/>
        </w:rPr>
        <w:t>well</w:t>
      </w:r>
      <w:r w:rsidR="00012FF5" w:rsidRPr="008D4B6C">
        <w:rPr>
          <w:rFonts w:ascii="Cambria" w:hAnsi="Cambria" w:cstheme="minorHAnsi"/>
        </w:rPr>
        <w:t xml:space="preserve"> #1</w:t>
      </w:r>
      <w:r w:rsidRPr="008D4B6C">
        <w:rPr>
          <w:rFonts w:ascii="Cambria" w:hAnsi="Cambria" w:cstheme="minorHAnsi"/>
        </w:rPr>
        <w:t xml:space="preserve"> </w:t>
      </w:r>
      <w:r w:rsidR="005A4647" w:rsidRPr="008D4B6C">
        <w:rPr>
          <w:rFonts w:ascii="Cambria" w:hAnsi="Cambria" w:cstheme="minorHAnsi"/>
        </w:rPr>
        <w:t xml:space="preserve">that has been decommissioned since the late 1990’s. </w:t>
      </w:r>
      <w:r w:rsidR="00554EA1" w:rsidRPr="008D4B6C">
        <w:rPr>
          <w:rFonts w:ascii="Cambria" w:hAnsi="Cambria" w:cstheme="minorHAnsi"/>
        </w:rPr>
        <w:t>Currently</w:t>
      </w:r>
      <w:r w:rsidR="005A4647" w:rsidRPr="008D4B6C">
        <w:rPr>
          <w:rFonts w:ascii="Cambria" w:hAnsi="Cambria" w:cstheme="minorHAnsi"/>
        </w:rPr>
        <w:t xml:space="preserve"> the city is reviewing its options on how to </w:t>
      </w:r>
      <w:r w:rsidR="00554EA1" w:rsidRPr="008D4B6C">
        <w:rPr>
          <w:rFonts w:ascii="Cambria" w:hAnsi="Cambria" w:cstheme="minorHAnsi"/>
        </w:rPr>
        <w:t>revitalize</w:t>
      </w:r>
      <w:r w:rsidR="005A4647" w:rsidRPr="008D4B6C">
        <w:rPr>
          <w:rFonts w:ascii="Cambria" w:hAnsi="Cambria" w:cstheme="minorHAnsi"/>
        </w:rPr>
        <w:t xml:space="preserve"> the well or abandon the well. The cost to revitalize the well is unknown.  </w:t>
      </w:r>
      <w:r w:rsidRPr="008D4B6C">
        <w:rPr>
          <w:rFonts w:ascii="Cambria" w:hAnsi="Cambria" w:cstheme="minorHAnsi"/>
        </w:rPr>
        <w:t>These liabilities are reported on the Schedule of Liabilities</w:t>
      </w:r>
      <w:r w:rsidR="00881D26" w:rsidRPr="008D4B6C">
        <w:rPr>
          <w:rFonts w:ascii="Cambria" w:hAnsi="Cambria" w:cstheme="minorHAnsi"/>
        </w:rPr>
        <w:t xml:space="preserve"> and will be once the liability amount is known</w:t>
      </w:r>
      <w:r w:rsidRPr="008D4B6C">
        <w:rPr>
          <w:rFonts w:ascii="Cambria" w:hAnsi="Cambria" w:cstheme="minorHAnsi"/>
        </w:rPr>
        <w:t xml:space="preserve">. During </w:t>
      </w:r>
      <w:r w:rsidR="00554EA1" w:rsidRPr="008D4B6C">
        <w:rPr>
          <w:rFonts w:ascii="Cambria" w:hAnsi="Cambria" w:cstheme="minorHAnsi"/>
        </w:rPr>
        <w:t>202</w:t>
      </w:r>
      <w:r w:rsidR="00E128D0">
        <w:rPr>
          <w:rFonts w:ascii="Cambria" w:hAnsi="Cambria" w:cstheme="minorHAnsi"/>
        </w:rPr>
        <w:t>4</w:t>
      </w:r>
      <w:r w:rsidRPr="008D4B6C">
        <w:rPr>
          <w:rFonts w:ascii="Cambria" w:hAnsi="Cambria" w:cstheme="minorHAnsi"/>
        </w:rPr>
        <w:t xml:space="preserve"> the city</w:t>
      </w:r>
      <w:r w:rsidR="00554EA1" w:rsidRPr="008D4B6C">
        <w:rPr>
          <w:rFonts w:ascii="Cambria" w:hAnsi="Cambria" w:cstheme="minorHAnsi"/>
        </w:rPr>
        <w:t xml:space="preserve"> </w:t>
      </w:r>
      <w:r w:rsidRPr="008D4B6C">
        <w:rPr>
          <w:rFonts w:ascii="Cambria" w:hAnsi="Cambria" w:cstheme="minorHAnsi"/>
        </w:rPr>
        <w:t xml:space="preserve">paid </w:t>
      </w:r>
      <w:r w:rsidR="00554EA1" w:rsidRPr="008D4B6C">
        <w:rPr>
          <w:rFonts w:ascii="Cambria" w:hAnsi="Cambria" w:cstheme="minorHAnsi"/>
        </w:rPr>
        <w:t>zero dollars</w:t>
      </w:r>
      <w:r w:rsidRPr="008D4B6C">
        <w:rPr>
          <w:rFonts w:ascii="Cambria" w:hAnsi="Cambria" w:cstheme="minorHAnsi"/>
        </w:rPr>
        <w:t xml:space="preserve"> for the related work.</w:t>
      </w:r>
    </w:p>
    <w:p w14:paraId="36113587" w14:textId="77777777" w:rsidR="00E128D0" w:rsidRDefault="00E128D0" w:rsidP="00646E37">
      <w:pPr>
        <w:spacing w:after="0" w:line="240" w:lineRule="auto"/>
        <w:jc w:val="both"/>
        <w:rPr>
          <w:rFonts w:ascii="Cambria" w:hAnsi="Cambria" w:cstheme="minorHAnsi"/>
        </w:rPr>
      </w:pPr>
    </w:p>
    <w:p w14:paraId="10CBDC6A" w14:textId="387AC26F" w:rsidR="00E128D0" w:rsidRPr="005D507C" w:rsidRDefault="00E128D0" w:rsidP="00646E37">
      <w:pPr>
        <w:spacing w:after="0" w:line="240" w:lineRule="auto"/>
        <w:jc w:val="both"/>
        <w:rPr>
          <w:rFonts w:ascii="Cambria" w:hAnsi="Cambria" w:cstheme="minorHAnsi"/>
        </w:rPr>
      </w:pPr>
      <w:r>
        <w:rPr>
          <w:rFonts w:ascii="Cambria" w:hAnsi="Cambria" w:cstheme="minorHAnsi"/>
        </w:rPr>
        <w:t xml:space="preserve">During </w:t>
      </w:r>
      <w:r w:rsidR="00630421">
        <w:rPr>
          <w:rFonts w:ascii="Cambria" w:hAnsi="Cambria" w:cstheme="minorHAnsi"/>
        </w:rPr>
        <w:t xml:space="preserve">Summer </w:t>
      </w:r>
      <w:r>
        <w:rPr>
          <w:rFonts w:ascii="Cambria" w:hAnsi="Cambria" w:cstheme="minorHAnsi"/>
        </w:rPr>
        <w:t>2024</w:t>
      </w:r>
      <w:r w:rsidR="00630421">
        <w:rPr>
          <w:rFonts w:ascii="Cambria" w:hAnsi="Cambria" w:cstheme="minorHAnsi"/>
        </w:rPr>
        <w:t xml:space="preserve"> the </w:t>
      </w:r>
      <w:proofErr w:type="gramStart"/>
      <w:r w:rsidR="00630421">
        <w:rPr>
          <w:rFonts w:ascii="Cambria" w:hAnsi="Cambria" w:cstheme="minorHAnsi"/>
        </w:rPr>
        <w:t>City</w:t>
      </w:r>
      <w:proofErr w:type="gramEnd"/>
      <w:r w:rsidR="00630421">
        <w:rPr>
          <w:rFonts w:ascii="Cambria" w:hAnsi="Cambria" w:cstheme="minorHAnsi"/>
        </w:rPr>
        <w:t xml:space="preserve"> tested wells for PFAS and found trace amounts in Wells 2 &amp; 3 and immediately shut them down for public safety.  The </w:t>
      </w:r>
      <w:proofErr w:type="gramStart"/>
      <w:r w:rsidR="00630421">
        <w:rPr>
          <w:rFonts w:ascii="Cambria" w:hAnsi="Cambria" w:cstheme="minorHAnsi"/>
        </w:rPr>
        <w:t>City</w:t>
      </w:r>
      <w:proofErr w:type="gramEnd"/>
      <w:r w:rsidR="00630421">
        <w:rPr>
          <w:rFonts w:ascii="Cambria" w:hAnsi="Cambria" w:cstheme="minorHAnsi"/>
        </w:rPr>
        <w:t xml:space="preserve"> is working with </w:t>
      </w:r>
      <w:proofErr w:type="gramStart"/>
      <w:r w:rsidR="00630421">
        <w:rPr>
          <w:rFonts w:ascii="Cambria" w:hAnsi="Cambria" w:cstheme="minorHAnsi"/>
        </w:rPr>
        <w:t>Department</w:t>
      </w:r>
      <w:proofErr w:type="gramEnd"/>
      <w:r w:rsidR="00630421">
        <w:rPr>
          <w:rFonts w:ascii="Cambria" w:hAnsi="Cambria" w:cstheme="minorHAnsi"/>
        </w:rPr>
        <w:t xml:space="preserve"> of Health on options to replace the water source, which may include </w:t>
      </w:r>
      <w:proofErr w:type="gramStart"/>
      <w:r w:rsidR="00630421">
        <w:rPr>
          <w:rFonts w:ascii="Cambria" w:hAnsi="Cambria" w:cstheme="minorHAnsi"/>
        </w:rPr>
        <w:t>increase</w:t>
      </w:r>
      <w:proofErr w:type="gramEnd"/>
      <w:r w:rsidR="00630421">
        <w:rPr>
          <w:rFonts w:ascii="Cambria" w:hAnsi="Cambria" w:cstheme="minorHAnsi"/>
        </w:rPr>
        <w:t xml:space="preserve"> production in other wells or digging a new source.</w:t>
      </w:r>
    </w:p>
    <w:p w14:paraId="008D7D28" w14:textId="77777777" w:rsidR="005D507C" w:rsidRDefault="005D507C" w:rsidP="00646E37">
      <w:pPr>
        <w:spacing w:after="0" w:line="240" w:lineRule="auto"/>
        <w:jc w:val="both"/>
        <w:rPr>
          <w:rFonts w:ascii="Cambria" w:hAnsi="Cambria" w:cstheme="minorHAnsi"/>
          <w:b/>
          <w:bCs/>
        </w:rPr>
      </w:pPr>
    </w:p>
    <w:p w14:paraId="096717E2" w14:textId="3897E9E9" w:rsidR="00731141" w:rsidRPr="00731141" w:rsidRDefault="00731141" w:rsidP="00646E37">
      <w:pPr>
        <w:spacing w:after="0" w:line="240" w:lineRule="auto"/>
        <w:jc w:val="both"/>
        <w:rPr>
          <w:rFonts w:ascii="Cambria" w:hAnsi="Cambria" w:cstheme="minorHAnsi"/>
        </w:rPr>
      </w:pPr>
      <w:r w:rsidRPr="00731141">
        <w:rPr>
          <w:rFonts w:ascii="Cambria" w:hAnsi="Cambria" w:cstheme="minorHAnsi"/>
          <w:b/>
          <w:bCs/>
        </w:rPr>
        <w:t xml:space="preserve">Note </w:t>
      </w:r>
      <w:r w:rsidR="001E0E88">
        <w:rPr>
          <w:rFonts w:ascii="Cambria" w:hAnsi="Cambria" w:cstheme="minorHAnsi"/>
          <w:b/>
          <w:bCs/>
        </w:rPr>
        <w:t>5</w:t>
      </w:r>
      <w:r w:rsidRPr="00731141">
        <w:rPr>
          <w:rFonts w:ascii="Cambria" w:hAnsi="Cambria" w:cstheme="minorHAnsi"/>
          <w:b/>
          <w:bCs/>
        </w:rPr>
        <w:t xml:space="preserve"> – Long-Term Debt</w:t>
      </w:r>
      <w:r w:rsidRPr="00731141">
        <w:rPr>
          <w:rFonts w:ascii="Cambria" w:hAnsi="Cambria" w:cstheme="minorHAnsi"/>
        </w:rPr>
        <w:t> </w:t>
      </w:r>
      <w:r w:rsidRPr="00731141">
        <w:rPr>
          <w:rFonts w:ascii="Cambria" w:hAnsi="Cambria" w:cstheme="minorHAnsi"/>
          <w:i/>
          <w:iCs/>
        </w:rPr>
        <w:t>(formerly Debt Service Requirements)</w:t>
      </w:r>
    </w:p>
    <w:p w14:paraId="120E73EA" w14:textId="77777777" w:rsidR="001C6490" w:rsidRDefault="001C6490" w:rsidP="00646E37">
      <w:pPr>
        <w:spacing w:after="0" w:line="240" w:lineRule="auto"/>
        <w:jc w:val="both"/>
        <w:rPr>
          <w:rFonts w:ascii="Cambria" w:hAnsi="Cambria" w:cstheme="minorHAnsi"/>
        </w:rPr>
      </w:pPr>
    </w:p>
    <w:p w14:paraId="530BF5B8" w14:textId="0D321668" w:rsidR="00731141" w:rsidRPr="00731141" w:rsidRDefault="00731141" w:rsidP="00646E37">
      <w:pPr>
        <w:spacing w:after="0" w:line="240" w:lineRule="auto"/>
        <w:jc w:val="both"/>
        <w:rPr>
          <w:rFonts w:ascii="Cambria" w:hAnsi="Cambria" w:cstheme="minorHAnsi"/>
        </w:rPr>
      </w:pPr>
      <w:r w:rsidRPr="00731141">
        <w:rPr>
          <w:rFonts w:ascii="Cambria" w:hAnsi="Cambria" w:cstheme="minorHAnsi"/>
        </w:rPr>
        <w:t xml:space="preserve">The accompanying Schedule of Liabilities provides more details of the outstanding debt and liabilities of the </w:t>
      </w:r>
      <w:r w:rsidR="001C6490">
        <w:rPr>
          <w:rFonts w:ascii="Cambria" w:hAnsi="Cambria" w:cstheme="minorHAnsi"/>
        </w:rPr>
        <w:t>City of Napavine</w:t>
      </w:r>
      <w:r w:rsidRPr="00731141">
        <w:rPr>
          <w:rFonts w:ascii="Cambria" w:hAnsi="Cambria" w:cstheme="minorHAnsi"/>
        </w:rPr>
        <w:t xml:space="preserve"> and summarizes the </w:t>
      </w:r>
      <w:r w:rsidR="001C6490">
        <w:rPr>
          <w:rFonts w:ascii="Cambria" w:hAnsi="Cambria" w:cstheme="minorHAnsi"/>
        </w:rPr>
        <w:t>city’s</w:t>
      </w:r>
      <w:r w:rsidRPr="00731141">
        <w:rPr>
          <w:rFonts w:ascii="Cambria" w:hAnsi="Cambria" w:cstheme="minorHAnsi"/>
        </w:rPr>
        <w:t xml:space="preserve"> debt transactions for year ended December 31, 20</w:t>
      </w:r>
      <w:r w:rsidR="001C6490">
        <w:rPr>
          <w:rFonts w:ascii="Cambria" w:hAnsi="Cambria" w:cstheme="minorHAnsi"/>
        </w:rPr>
        <w:t>2</w:t>
      </w:r>
      <w:r w:rsidR="00630421">
        <w:rPr>
          <w:rFonts w:ascii="Cambria" w:hAnsi="Cambria" w:cstheme="minorHAnsi"/>
        </w:rPr>
        <w:t>4</w:t>
      </w:r>
      <w:r w:rsidRPr="00731141">
        <w:rPr>
          <w:rFonts w:ascii="Cambria" w:hAnsi="Cambria" w:cstheme="minorHAnsi"/>
        </w:rPr>
        <w:t>.</w:t>
      </w:r>
    </w:p>
    <w:p w14:paraId="412ABE9F" w14:textId="67402A7B" w:rsidR="001C6490" w:rsidRDefault="001C6490" w:rsidP="00646E37">
      <w:pPr>
        <w:spacing w:after="0" w:line="240" w:lineRule="auto"/>
        <w:jc w:val="both"/>
        <w:rPr>
          <w:rFonts w:ascii="Cambria" w:hAnsi="Cambria" w:cstheme="minorHAnsi"/>
        </w:rPr>
      </w:pPr>
    </w:p>
    <w:p w14:paraId="0CDE6BAA" w14:textId="21BA2989" w:rsidR="00731141" w:rsidRDefault="00731141" w:rsidP="00646E37">
      <w:pPr>
        <w:spacing w:after="0" w:line="240" w:lineRule="auto"/>
        <w:jc w:val="both"/>
        <w:rPr>
          <w:rFonts w:ascii="Cambria" w:hAnsi="Cambria" w:cstheme="minorHAnsi"/>
        </w:rPr>
      </w:pPr>
      <w:r w:rsidRPr="00731141">
        <w:rPr>
          <w:rFonts w:ascii="Cambria" w:hAnsi="Cambria" w:cstheme="minorHAnsi"/>
        </w:rPr>
        <w:t xml:space="preserve">The debt service requirements for general obligation bonds, revenue bonds and </w:t>
      </w:r>
      <w:r w:rsidR="00FE2C3E">
        <w:rPr>
          <w:rFonts w:ascii="Cambria" w:hAnsi="Cambria" w:cstheme="minorHAnsi"/>
        </w:rPr>
        <w:t>special assessment bonds</w:t>
      </w:r>
      <w:r w:rsidRPr="00731141">
        <w:rPr>
          <w:rFonts w:ascii="Cambria" w:hAnsi="Cambria" w:cstheme="minorHAnsi"/>
        </w:rPr>
        <w:t> are as follows:</w:t>
      </w:r>
    </w:p>
    <w:p w14:paraId="2B6FAC00" w14:textId="3DE1693F" w:rsidR="00AA5622" w:rsidRDefault="00C60417" w:rsidP="00646E37">
      <w:pPr>
        <w:spacing w:after="0" w:line="240" w:lineRule="auto"/>
        <w:jc w:val="both"/>
        <w:rPr>
          <w:rFonts w:ascii="Cambria" w:hAnsi="Cambria" w:cstheme="minorHAnsi"/>
        </w:rPr>
      </w:pPr>
      <w:r w:rsidRPr="00C60417">
        <w:rPr>
          <w:noProof/>
        </w:rPr>
        <w:drawing>
          <wp:inline distT="0" distB="0" distL="0" distR="0" wp14:anchorId="24C2B32C" wp14:editId="6A291808">
            <wp:extent cx="4600575" cy="2133600"/>
            <wp:effectExtent l="0" t="0" r="9525" b="0"/>
            <wp:docPr id="36173376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00575" cy="2133600"/>
                    </a:xfrm>
                    <a:prstGeom prst="rect">
                      <a:avLst/>
                    </a:prstGeom>
                    <a:noFill/>
                    <a:ln>
                      <a:noFill/>
                    </a:ln>
                  </pic:spPr>
                </pic:pic>
              </a:graphicData>
            </a:graphic>
          </wp:inline>
        </w:drawing>
      </w:r>
    </w:p>
    <w:p w14:paraId="2D8EC156" w14:textId="6ED3C52C" w:rsidR="0063405D" w:rsidRDefault="0063405D" w:rsidP="00646E37">
      <w:pPr>
        <w:spacing w:after="0" w:line="240" w:lineRule="auto"/>
        <w:jc w:val="both"/>
        <w:rPr>
          <w:rFonts w:ascii="Cambria" w:hAnsi="Cambria" w:cstheme="minorHAnsi"/>
          <w:u w:val="single"/>
        </w:rPr>
      </w:pPr>
      <w:r>
        <w:rPr>
          <w:rFonts w:ascii="Cambria" w:hAnsi="Cambria" w:cstheme="minorHAnsi"/>
          <w:u w:val="single"/>
        </w:rPr>
        <w:lastRenderedPageBreak/>
        <w:t>Unused Line of Credit</w:t>
      </w:r>
    </w:p>
    <w:p w14:paraId="4D402845" w14:textId="77777777" w:rsidR="0063405D" w:rsidRPr="0063405D" w:rsidRDefault="0063405D" w:rsidP="00646E37">
      <w:pPr>
        <w:spacing w:after="0" w:line="240" w:lineRule="auto"/>
        <w:jc w:val="both"/>
        <w:rPr>
          <w:rFonts w:ascii="Cambria" w:hAnsi="Cambria" w:cstheme="minorHAnsi"/>
          <w:u w:val="single"/>
        </w:rPr>
      </w:pPr>
    </w:p>
    <w:p w14:paraId="1A409202" w14:textId="163E68B2" w:rsidR="00E96F92" w:rsidRDefault="00E96F92" w:rsidP="00646E37">
      <w:pPr>
        <w:spacing w:after="0" w:line="240" w:lineRule="auto"/>
        <w:jc w:val="both"/>
        <w:rPr>
          <w:rFonts w:ascii="Cambria" w:hAnsi="Cambria" w:cstheme="minorHAnsi"/>
        </w:rPr>
      </w:pPr>
      <w:r>
        <w:rPr>
          <w:rFonts w:ascii="Cambria" w:hAnsi="Cambria" w:cstheme="minorHAnsi"/>
        </w:rPr>
        <w:t>At fiscal year end, the City of Napavine had $</w:t>
      </w:r>
      <w:proofErr w:type="gramStart"/>
      <w:r>
        <w:rPr>
          <w:rFonts w:ascii="Cambria" w:hAnsi="Cambria" w:cstheme="minorHAnsi"/>
        </w:rPr>
        <w:t>1</w:t>
      </w:r>
      <w:r w:rsidR="00C60417">
        <w:rPr>
          <w:rFonts w:ascii="Cambria" w:hAnsi="Cambria" w:cstheme="minorHAnsi"/>
        </w:rPr>
        <w:t>7,865.09</w:t>
      </w:r>
      <w:r w:rsidR="00A57059">
        <w:rPr>
          <w:rFonts w:ascii="Cambria" w:hAnsi="Cambria" w:cstheme="minorHAnsi"/>
        </w:rPr>
        <w:t xml:space="preserve"> </w:t>
      </w:r>
      <w:r>
        <w:rPr>
          <w:rFonts w:ascii="Cambria" w:hAnsi="Cambria" w:cstheme="minorHAnsi"/>
        </w:rPr>
        <w:t xml:space="preserve"> available</w:t>
      </w:r>
      <w:proofErr w:type="gramEnd"/>
      <w:r>
        <w:rPr>
          <w:rFonts w:ascii="Cambria" w:hAnsi="Cambria" w:cstheme="minorHAnsi"/>
        </w:rPr>
        <w:t xml:space="preserve"> of unused line of credit</w:t>
      </w:r>
      <w:r w:rsidR="00772874">
        <w:rPr>
          <w:rFonts w:ascii="Cambria" w:hAnsi="Cambria" w:cstheme="minorHAnsi"/>
        </w:rPr>
        <w:t xml:space="preserve"> with the State Credit Card Program via US Bank</w:t>
      </w:r>
      <w:r>
        <w:rPr>
          <w:rFonts w:ascii="Cambria" w:hAnsi="Cambria" w:cstheme="minorHAnsi"/>
        </w:rPr>
        <w:t>.</w:t>
      </w:r>
    </w:p>
    <w:p w14:paraId="14895036" w14:textId="77777777" w:rsidR="00E96F92" w:rsidRDefault="00E96F92" w:rsidP="00646E37">
      <w:pPr>
        <w:spacing w:after="0" w:line="240" w:lineRule="auto"/>
        <w:jc w:val="both"/>
        <w:rPr>
          <w:rFonts w:ascii="Cambria" w:hAnsi="Cambria" w:cstheme="minorHAnsi"/>
        </w:rPr>
      </w:pPr>
    </w:p>
    <w:p w14:paraId="2469599F" w14:textId="3A2E1285" w:rsidR="00731141" w:rsidRPr="0063405D" w:rsidRDefault="00731141" w:rsidP="00646E37">
      <w:pPr>
        <w:spacing w:after="0" w:line="240" w:lineRule="auto"/>
        <w:jc w:val="both"/>
        <w:rPr>
          <w:rFonts w:ascii="Cambria" w:hAnsi="Cambria" w:cstheme="minorHAnsi"/>
          <w:u w:val="single"/>
        </w:rPr>
      </w:pPr>
      <w:r w:rsidRPr="0063405D">
        <w:rPr>
          <w:rFonts w:ascii="Cambria" w:hAnsi="Cambria" w:cstheme="minorHAnsi"/>
          <w:u w:val="single"/>
        </w:rPr>
        <w:t>Assets Pledged as Collateral for Debt</w:t>
      </w:r>
    </w:p>
    <w:p w14:paraId="024B04BF" w14:textId="77777777" w:rsidR="00AD1170" w:rsidRPr="00731141" w:rsidRDefault="00AD1170" w:rsidP="00646E37">
      <w:pPr>
        <w:spacing w:after="0" w:line="240" w:lineRule="auto"/>
        <w:jc w:val="both"/>
        <w:rPr>
          <w:rFonts w:ascii="Cambria" w:hAnsi="Cambria" w:cstheme="minorHAnsi"/>
        </w:rPr>
      </w:pPr>
    </w:p>
    <w:p w14:paraId="789FF52F" w14:textId="623E8B27" w:rsidR="00731141" w:rsidRDefault="00731141" w:rsidP="00646E37">
      <w:pPr>
        <w:spacing w:after="0" w:line="240" w:lineRule="auto"/>
        <w:jc w:val="both"/>
        <w:rPr>
          <w:rFonts w:ascii="Cambria" w:hAnsi="Cambria" w:cstheme="minorHAnsi"/>
        </w:rPr>
      </w:pPr>
      <w:r w:rsidRPr="00731141">
        <w:rPr>
          <w:rFonts w:ascii="Cambria" w:hAnsi="Cambria" w:cstheme="minorHAnsi"/>
        </w:rPr>
        <w:t>The following debt is secured by assets that are pledged as collateral:</w:t>
      </w:r>
    </w:p>
    <w:p w14:paraId="146D4B9C" w14:textId="77777777" w:rsidR="007E17FD" w:rsidRPr="00731141" w:rsidRDefault="007E17FD" w:rsidP="00646E37">
      <w:pPr>
        <w:spacing w:after="0" w:line="240" w:lineRule="auto"/>
        <w:jc w:val="both"/>
        <w:rPr>
          <w:rFonts w:ascii="Cambria" w:hAnsi="Cambria" w:cstheme="minorHAnsi"/>
        </w:rPr>
      </w:pPr>
    </w:p>
    <w:tbl>
      <w:tblPr>
        <w:tblW w:w="8272" w:type="dxa"/>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872"/>
        <w:gridCol w:w="5400"/>
      </w:tblGrid>
      <w:tr w:rsidR="00731141" w:rsidRPr="00731141" w14:paraId="41EA642F" w14:textId="77777777" w:rsidTr="00AD1170">
        <w:trPr>
          <w:trHeight w:val="240"/>
        </w:trPr>
        <w:tc>
          <w:tcPr>
            <w:tcW w:w="2872" w:type="dxa"/>
            <w:tcBorders>
              <w:top w:val="single" w:sz="6" w:space="0" w:color="AAAAAA"/>
              <w:left w:val="single" w:sz="6" w:space="0" w:color="AAAAAA"/>
              <w:bottom w:val="single" w:sz="6" w:space="0" w:color="AAAAAA"/>
              <w:right w:val="single" w:sz="6" w:space="0" w:color="AAAAAA"/>
            </w:tcBorders>
            <w:tcMar>
              <w:top w:w="150" w:type="dxa"/>
              <w:left w:w="150" w:type="dxa"/>
              <w:bottom w:w="150" w:type="dxa"/>
              <w:right w:w="150" w:type="dxa"/>
            </w:tcMar>
            <w:hideMark/>
          </w:tcPr>
          <w:p w14:paraId="2B8E16C5" w14:textId="77777777" w:rsidR="00731141" w:rsidRPr="00731141" w:rsidRDefault="00731141" w:rsidP="00646E37">
            <w:pPr>
              <w:spacing w:after="0" w:line="240" w:lineRule="auto"/>
              <w:jc w:val="both"/>
              <w:rPr>
                <w:rFonts w:ascii="Cambria" w:hAnsi="Cambria" w:cstheme="minorHAnsi"/>
              </w:rPr>
            </w:pPr>
            <w:r w:rsidRPr="00731141">
              <w:rPr>
                <w:rFonts w:ascii="Cambria" w:hAnsi="Cambria" w:cstheme="minorHAnsi"/>
              </w:rPr>
              <w:t>Debt:</w:t>
            </w:r>
          </w:p>
        </w:tc>
        <w:tc>
          <w:tcPr>
            <w:tcW w:w="5400" w:type="dxa"/>
            <w:tcBorders>
              <w:top w:val="single" w:sz="6" w:space="0" w:color="AAAAAA"/>
              <w:left w:val="single" w:sz="6" w:space="0" w:color="AAAAAA"/>
              <w:bottom w:val="single" w:sz="6" w:space="0" w:color="AAAAAA"/>
              <w:right w:val="single" w:sz="6" w:space="0" w:color="AAAAAA"/>
            </w:tcBorders>
            <w:tcMar>
              <w:top w:w="150" w:type="dxa"/>
              <w:left w:w="150" w:type="dxa"/>
              <w:bottom w:w="150" w:type="dxa"/>
              <w:right w:w="150" w:type="dxa"/>
            </w:tcMar>
            <w:hideMark/>
          </w:tcPr>
          <w:p w14:paraId="050C3F70" w14:textId="77777777" w:rsidR="00731141" w:rsidRPr="00731141" w:rsidRDefault="00731141" w:rsidP="00646E37">
            <w:pPr>
              <w:spacing w:after="0" w:line="240" w:lineRule="auto"/>
              <w:jc w:val="both"/>
              <w:rPr>
                <w:rFonts w:ascii="Cambria" w:hAnsi="Cambria" w:cstheme="minorHAnsi"/>
              </w:rPr>
            </w:pPr>
            <w:r w:rsidRPr="00731141">
              <w:rPr>
                <w:rFonts w:ascii="Cambria" w:hAnsi="Cambria" w:cstheme="minorHAnsi"/>
              </w:rPr>
              <w:t>Asset:</w:t>
            </w:r>
          </w:p>
        </w:tc>
      </w:tr>
      <w:tr w:rsidR="00731141" w:rsidRPr="00731141" w14:paraId="7EB0E501" w14:textId="77777777" w:rsidTr="000D4678">
        <w:tc>
          <w:tcPr>
            <w:tcW w:w="2872" w:type="dxa"/>
            <w:tcBorders>
              <w:top w:val="single" w:sz="6" w:space="0" w:color="AAAAAA"/>
              <w:left w:val="single" w:sz="6" w:space="0" w:color="AAAAAA"/>
              <w:bottom w:val="single" w:sz="6" w:space="0" w:color="AAAAAA"/>
              <w:right w:val="single" w:sz="6" w:space="0" w:color="AAAAAA"/>
            </w:tcBorders>
            <w:tcMar>
              <w:top w:w="150" w:type="dxa"/>
              <w:left w:w="150" w:type="dxa"/>
              <w:bottom w:w="150" w:type="dxa"/>
              <w:right w:w="150" w:type="dxa"/>
            </w:tcMar>
            <w:hideMark/>
          </w:tcPr>
          <w:p w14:paraId="58123744" w14:textId="0B520E06" w:rsidR="00731141" w:rsidRPr="00731141" w:rsidRDefault="005A4647" w:rsidP="00646E37">
            <w:pPr>
              <w:spacing w:after="0" w:line="240" w:lineRule="auto"/>
              <w:jc w:val="both"/>
              <w:rPr>
                <w:rFonts w:ascii="Cambria" w:hAnsi="Cambria" w:cstheme="minorHAnsi"/>
              </w:rPr>
            </w:pPr>
            <w:r>
              <w:rPr>
                <w:rFonts w:ascii="Cambria" w:hAnsi="Cambria" w:cstheme="minorHAnsi"/>
              </w:rPr>
              <w:t>2009 L. G. T. O. Bond (USDA Rural Development Loan)</w:t>
            </w:r>
          </w:p>
        </w:tc>
        <w:tc>
          <w:tcPr>
            <w:tcW w:w="5400" w:type="dxa"/>
            <w:tcBorders>
              <w:top w:val="single" w:sz="6" w:space="0" w:color="AAAAAA"/>
              <w:left w:val="single" w:sz="6" w:space="0" w:color="AAAAAA"/>
              <w:bottom w:val="single" w:sz="6" w:space="0" w:color="AAAAAA"/>
              <w:right w:val="single" w:sz="6" w:space="0" w:color="AAAAAA"/>
            </w:tcBorders>
            <w:tcMar>
              <w:top w:w="150" w:type="dxa"/>
              <w:left w:w="150" w:type="dxa"/>
              <w:bottom w:w="150" w:type="dxa"/>
              <w:right w:w="150" w:type="dxa"/>
            </w:tcMar>
            <w:hideMark/>
          </w:tcPr>
          <w:p w14:paraId="4DDEFD86" w14:textId="5AD51AD2" w:rsidR="00731141" w:rsidRPr="00731141" w:rsidRDefault="000D4678" w:rsidP="00646E37">
            <w:pPr>
              <w:spacing w:after="0" w:line="240" w:lineRule="auto"/>
              <w:jc w:val="both"/>
              <w:rPr>
                <w:rFonts w:ascii="Cambria" w:hAnsi="Cambria" w:cstheme="minorHAnsi"/>
              </w:rPr>
            </w:pPr>
            <w:r>
              <w:rPr>
                <w:rFonts w:ascii="Cambria" w:hAnsi="Cambria" w:cstheme="minorHAnsi"/>
              </w:rPr>
              <w:t>407 Birch Ave SW, Napavine, WA (Napavine City Hall)</w:t>
            </w:r>
          </w:p>
        </w:tc>
      </w:tr>
    </w:tbl>
    <w:p w14:paraId="016C614D" w14:textId="77777777" w:rsidR="00FE2C3E" w:rsidRDefault="00FE2C3E" w:rsidP="00646E37">
      <w:pPr>
        <w:spacing w:after="0" w:line="240" w:lineRule="auto"/>
        <w:jc w:val="both"/>
        <w:rPr>
          <w:rFonts w:ascii="Cambria" w:hAnsi="Cambria" w:cstheme="minorHAnsi"/>
        </w:rPr>
      </w:pPr>
    </w:p>
    <w:p w14:paraId="662F077A" w14:textId="23BECA3C" w:rsidR="00731141" w:rsidRPr="0063405D" w:rsidRDefault="00731141" w:rsidP="00646E37">
      <w:pPr>
        <w:spacing w:after="0" w:line="240" w:lineRule="auto"/>
        <w:jc w:val="both"/>
        <w:rPr>
          <w:rFonts w:ascii="Cambria" w:hAnsi="Cambria" w:cstheme="minorHAnsi"/>
          <w:u w:val="single"/>
        </w:rPr>
      </w:pPr>
      <w:r w:rsidRPr="0063405D">
        <w:rPr>
          <w:rFonts w:ascii="Cambria" w:hAnsi="Cambria" w:cstheme="minorHAnsi"/>
          <w:u w:val="single"/>
        </w:rPr>
        <w:t>Significant Debt Agreement Terms </w:t>
      </w:r>
    </w:p>
    <w:p w14:paraId="69612840" w14:textId="77777777" w:rsidR="00AD1170" w:rsidRPr="00731141" w:rsidRDefault="00AD1170" w:rsidP="00646E37">
      <w:pPr>
        <w:spacing w:after="0" w:line="240" w:lineRule="auto"/>
        <w:jc w:val="both"/>
        <w:rPr>
          <w:rFonts w:ascii="Cambria" w:hAnsi="Cambria" w:cstheme="minorHAnsi"/>
        </w:rPr>
      </w:pPr>
    </w:p>
    <w:p w14:paraId="353ED2B3" w14:textId="6042908F" w:rsidR="00731141" w:rsidRDefault="00731141" w:rsidP="00646E37">
      <w:pPr>
        <w:spacing w:after="0" w:line="240" w:lineRule="auto"/>
        <w:jc w:val="both"/>
        <w:rPr>
          <w:rFonts w:ascii="Cambria" w:hAnsi="Cambria" w:cstheme="minorHAnsi"/>
        </w:rPr>
      </w:pPr>
      <w:r w:rsidRPr="00731141">
        <w:rPr>
          <w:rFonts w:ascii="Cambria" w:hAnsi="Cambria" w:cstheme="minorHAnsi"/>
        </w:rPr>
        <w:t>The following financial instruments contain debt agreement terms with finance related consequences:</w:t>
      </w:r>
    </w:p>
    <w:p w14:paraId="74B0AFEA" w14:textId="77777777" w:rsidR="005A4647" w:rsidRPr="00731141" w:rsidRDefault="005A4647" w:rsidP="00646E37">
      <w:pPr>
        <w:spacing w:after="0" w:line="240" w:lineRule="auto"/>
        <w:jc w:val="both"/>
        <w:rPr>
          <w:rFonts w:ascii="Cambria" w:hAnsi="Cambria" w:cstheme="minorHAnsi"/>
        </w:rPr>
      </w:pPr>
    </w:p>
    <w:tbl>
      <w:tblPr>
        <w:tblW w:w="9049" w:type="dxa"/>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872"/>
        <w:gridCol w:w="6177"/>
      </w:tblGrid>
      <w:tr w:rsidR="005A4647" w:rsidRPr="00731141" w14:paraId="70D29AFC" w14:textId="77777777" w:rsidTr="005A4647">
        <w:tc>
          <w:tcPr>
            <w:tcW w:w="2872" w:type="dxa"/>
            <w:tcBorders>
              <w:top w:val="single" w:sz="6" w:space="0" w:color="AAAAAA"/>
              <w:left w:val="single" w:sz="6" w:space="0" w:color="AAAAAA"/>
              <w:bottom w:val="single" w:sz="6" w:space="0" w:color="AAAAAA"/>
              <w:right w:val="single" w:sz="6" w:space="0" w:color="AAAAAA"/>
            </w:tcBorders>
            <w:tcMar>
              <w:top w:w="150" w:type="dxa"/>
              <w:left w:w="150" w:type="dxa"/>
              <w:bottom w:w="150" w:type="dxa"/>
              <w:right w:w="150" w:type="dxa"/>
            </w:tcMar>
            <w:vAlign w:val="center"/>
          </w:tcPr>
          <w:p w14:paraId="4625EEC6" w14:textId="3AB60C24" w:rsidR="005A4647" w:rsidRPr="00731141" w:rsidRDefault="005A4647" w:rsidP="005A4647">
            <w:pPr>
              <w:spacing w:after="0" w:line="240" w:lineRule="auto"/>
              <w:jc w:val="both"/>
              <w:rPr>
                <w:rFonts w:ascii="Cambria" w:hAnsi="Cambria" w:cstheme="minorHAnsi"/>
              </w:rPr>
            </w:pPr>
            <w:r w:rsidRPr="00E11437">
              <w:rPr>
                <w:rFonts w:ascii="Times New Roman" w:eastAsia="Times New Roman" w:hAnsi="Times New Roman" w:cs="Times New Roman"/>
                <w:color w:val="000000"/>
              </w:rPr>
              <w:t>Debt</w:t>
            </w:r>
          </w:p>
        </w:tc>
        <w:tc>
          <w:tcPr>
            <w:tcW w:w="6177" w:type="dxa"/>
            <w:tcBorders>
              <w:top w:val="single" w:sz="6" w:space="0" w:color="AAAAAA"/>
              <w:left w:val="single" w:sz="6" w:space="0" w:color="AAAAAA"/>
              <w:bottom w:val="single" w:sz="6" w:space="0" w:color="AAAAAA"/>
              <w:right w:val="single" w:sz="6" w:space="0" w:color="AAAAAA"/>
            </w:tcBorders>
            <w:tcMar>
              <w:top w:w="150" w:type="dxa"/>
              <w:left w:w="150" w:type="dxa"/>
              <w:bottom w:w="150" w:type="dxa"/>
              <w:right w:w="150" w:type="dxa"/>
            </w:tcMar>
            <w:vAlign w:val="center"/>
          </w:tcPr>
          <w:p w14:paraId="3846024A" w14:textId="74FC937F" w:rsidR="005A4647" w:rsidRPr="00731141" w:rsidRDefault="005A4647" w:rsidP="005A4647">
            <w:pPr>
              <w:spacing w:after="0" w:line="240" w:lineRule="auto"/>
              <w:jc w:val="both"/>
              <w:rPr>
                <w:rFonts w:ascii="Cambria" w:hAnsi="Cambria" w:cstheme="minorHAnsi"/>
              </w:rPr>
            </w:pPr>
            <w:r w:rsidRPr="00E11437">
              <w:rPr>
                <w:rFonts w:ascii="Times New Roman" w:eastAsia="Times New Roman" w:hAnsi="Times New Roman" w:cs="Times New Roman"/>
                <w:color w:val="000000"/>
              </w:rPr>
              <w:t>Clause</w:t>
            </w:r>
          </w:p>
        </w:tc>
      </w:tr>
      <w:tr w:rsidR="005A4647" w:rsidRPr="00731141" w14:paraId="4D8C4EA2" w14:textId="77777777" w:rsidTr="008848B0">
        <w:tc>
          <w:tcPr>
            <w:tcW w:w="2872" w:type="dxa"/>
            <w:tcBorders>
              <w:top w:val="single" w:sz="6" w:space="0" w:color="AAAAAA"/>
              <w:left w:val="single" w:sz="6" w:space="0" w:color="AAAAAA"/>
              <w:bottom w:val="single" w:sz="6" w:space="0" w:color="AAAAAA"/>
              <w:right w:val="single" w:sz="6" w:space="0" w:color="AAAAAA"/>
            </w:tcBorders>
            <w:tcMar>
              <w:top w:w="150" w:type="dxa"/>
              <w:left w:w="150" w:type="dxa"/>
              <w:bottom w:w="150" w:type="dxa"/>
              <w:right w:w="150" w:type="dxa"/>
            </w:tcMar>
            <w:vAlign w:val="center"/>
          </w:tcPr>
          <w:p w14:paraId="5A90A809" w14:textId="3E3132F1" w:rsidR="005A4647" w:rsidRPr="00731141" w:rsidRDefault="005A4647" w:rsidP="008848B0">
            <w:pPr>
              <w:spacing w:after="0" w:line="240" w:lineRule="auto"/>
              <w:rPr>
                <w:rFonts w:ascii="Cambria" w:hAnsi="Cambria" w:cstheme="minorHAnsi"/>
              </w:rPr>
            </w:pPr>
            <w:r>
              <w:rPr>
                <w:rFonts w:ascii="Cambria" w:hAnsi="Cambria" w:cstheme="minorHAnsi"/>
              </w:rPr>
              <w:t>2009 L. G. T. O. Bond (USDA Rural Development Loan)</w:t>
            </w:r>
          </w:p>
        </w:tc>
        <w:tc>
          <w:tcPr>
            <w:tcW w:w="6177" w:type="dxa"/>
            <w:tcBorders>
              <w:top w:val="single" w:sz="6" w:space="0" w:color="AAAAAA"/>
              <w:left w:val="single" w:sz="6" w:space="0" w:color="AAAAAA"/>
              <w:bottom w:val="single" w:sz="6" w:space="0" w:color="AAAAAA"/>
              <w:right w:val="single" w:sz="6" w:space="0" w:color="AAAAAA"/>
            </w:tcBorders>
            <w:tcMar>
              <w:top w:w="150" w:type="dxa"/>
              <w:left w:w="150" w:type="dxa"/>
              <w:bottom w:w="150" w:type="dxa"/>
              <w:right w:w="150" w:type="dxa"/>
            </w:tcMar>
          </w:tcPr>
          <w:p w14:paraId="7A8B5016" w14:textId="35A3BB49" w:rsidR="005A4647" w:rsidRPr="00731141" w:rsidRDefault="005A4647" w:rsidP="008848B0">
            <w:pPr>
              <w:spacing w:after="0" w:line="240" w:lineRule="auto"/>
              <w:rPr>
                <w:rFonts w:ascii="Cambria" w:hAnsi="Cambria" w:cstheme="minorHAnsi"/>
              </w:rPr>
            </w:pPr>
            <w:r>
              <w:rPr>
                <w:rFonts w:ascii="Times New Roman" w:eastAsia="Times New Roman" w:hAnsi="Times New Roman" w:cs="Times New Roman"/>
                <w:color w:val="000000"/>
              </w:rPr>
              <w:t>If any installment of principal and interest is not paid when due, the City shall be obligated to pay interest on that installment at the same rate provided in the Bond from and after its payment date until that installment, both principal and interest, is paid in full.</w:t>
            </w:r>
          </w:p>
        </w:tc>
      </w:tr>
    </w:tbl>
    <w:p w14:paraId="0DE8B15B" w14:textId="77777777" w:rsidR="00FE2C3E" w:rsidRDefault="00FE2C3E" w:rsidP="00646E37">
      <w:pPr>
        <w:spacing w:after="0" w:line="240" w:lineRule="auto"/>
        <w:jc w:val="both"/>
        <w:rPr>
          <w:rFonts w:ascii="Cambria" w:hAnsi="Cambria" w:cstheme="minorHAnsi"/>
          <w:b/>
          <w:bCs/>
        </w:rPr>
      </w:pPr>
    </w:p>
    <w:p w14:paraId="2C296DA1" w14:textId="596FCA99" w:rsidR="00517356" w:rsidRPr="00517356" w:rsidRDefault="00517356" w:rsidP="00646E37">
      <w:pPr>
        <w:spacing w:after="0" w:line="240" w:lineRule="auto"/>
        <w:jc w:val="both"/>
        <w:rPr>
          <w:rFonts w:ascii="Cambria" w:hAnsi="Cambria" w:cstheme="minorHAnsi"/>
        </w:rPr>
      </w:pPr>
      <w:r w:rsidRPr="00517356">
        <w:rPr>
          <w:rFonts w:ascii="Cambria" w:hAnsi="Cambria" w:cstheme="minorHAnsi"/>
          <w:b/>
          <w:bCs/>
        </w:rPr>
        <w:t xml:space="preserve">Note </w:t>
      </w:r>
      <w:r w:rsidR="001E0E88">
        <w:rPr>
          <w:rFonts w:ascii="Cambria" w:hAnsi="Cambria" w:cstheme="minorHAnsi"/>
          <w:b/>
          <w:bCs/>
        </w:rPr>
        <w:t>6</w:t>
      </w:r>
      <w:r w:rsidRPr="00517356">
        <w:rPr>
          <w:rFonts w:ascii="Cambria" w:hAnsi="Cambria" w:cstheme="minorHAnsi"/>
          <w:b/>
          <w:bCs/>
        </w:rPr>
        <w:t xml:space="preserve"> – OPEB Plans</w:t>
      </w:r>
    </w:p>
    <w:p w14:paraId="4C5F7761" w14:textId="4F779AF2" w:rsidR="00517356" w:rsidRPr="00076E9E" w:rsidRDefault="00517356" w:rsidP="00646E37">
      <w:pPr>
        <w:spacing w:after="0" w:line="240" w:lineRule="auto"/>
        <w:jc w:val="both"/>
        <w:rPr>
          <w:rFonts w:ascii="Cambria" w:hAnsi="Cambria" w:cstheme="minorHAnsi"/>
        </w:rPr>
      </w:pPr>
      <w:r w:rsidRPr="00517356">
        <w:rPr>
          <w:rFonts w:ascii="Cambria" w:hAnsi="Cambria" w:cstheme="minorHAnsi"/>
        </w:rPr>
        <w:br/>
      </w:r>
      <w:r w:rsidRPr="00076E9E">
        <w:rPr>
          <w:rFonts w:ascii="Cambria" w:hAnsi="Cambria" w:cstheme="minorHAnsi"/>
        </w:rPr>
        <w:t xml:space="preserve">During the year ended </w:t>
      </w:r>
      <w:r w:rsidR="007E17FD" w:rsidRPr="00076E9E">
        <w:rPr>
          <w:rFonts w:ascii="Cambria" w:hAnsi="Cambria" w:cstheme="minorHAnsi"/>
        </w:rPr>
        <w:t>202</w:t>
      </w:r>
      <w:r w:rsidR="00A57059">
        <w:rPr>
          <w:rFonts w:ascii="Cambria" w:hAnsi="Cambria" w:cstheme="minorHAnsi"/>
        </w:rPr>
        <w:t>2</w:t>
      </w:r>
      <w:r w:rsidRPr="00076E9E">
        <w:rPr>
          <w:rFonts w:ascii="Cambria" w:hAnsi="Cambria" w:cstheme="minorHAnsi"/>
        </w:rPr>
        <w:t xml:space="preserve">, the </w:t>
      </w:r>
      <w:r w:rsidR="007E17FD" w:rsidRPr="00076E9E">
        <w:rPr>
          <w:rFonts w:ascii="Cambria" w:hAnsi="Cambria" w:cstheme="minorHAnsi"/>
        </w:rPr>
        <w:t>City of Napavine</w:t>
      </w:r>
      <w:r w:rsidRPr="00076E9E">
        <w:rPr>
          <w:rFonts w:ascii="Cambria" w:hAnsi="Cambria" w:cstheme="minorHAnsi"/>
        </w:rPr>
        <w:t xml:space="preserve"> adopted guidance for the presentation and disclosure of postemployment benefits other than pensions, as required by the BARS manual. This requirement resulted in the addition of a postemployment benefit liability reported on the Schedule of Liabilities.</w:t>
      </w:r>
    </w:p>
    <w:p w14:paraId="7EC74B35" w14:textId="77777777" w:rsidR="003B69BB" w:rsidRPr="00076E9E" w:rsidRDefault="003B69BB" w:rsidP="00646E37">
      <w:pPr>
        <w:spacing w:after="0" w:line="240" w:lineRule="auto"/>
        <w:jc w:val="both"/>
        <w:rPr>
          <w:rFonts w:ascii="Cambria" w:hAnsi="Cambria" w:cstheme="minorHAnsi"/>
        </w:rPr>
      </w:pPr>
    </w:p>
    <w:p w14:paraId="1AA3314C" w14:textId="728D9B7A" w:rsidR="00FE2C3E" w:rsidRPr="00076E9E" w:rsidRDefault="003B69BB" w:rsidP="00646E37">
      <w:pPr>
        <w:spacing w:after="0" w:line="240" w:lineRule="auto"/>
        <w:jc w:val="both"/>
        <w:rPr>
          <w:rFonts w:ascii="Cambria" w:hAnsi="Cambria" w:cstheme="minorHAnsi"/>
        </w:rPr>
      </w:pPr>
      <w:r w:rsidRPr="00076E9E">
        <w:rPr>
          <w:rFonts w:ascii="Cambria" w:hAnsi="Cambria" w:cstheme="minorHAnsi"/>
        </w:rPr>
        <w:t>The LEOFF I Retiree Medical Plan is a closed, single-employer, defined-benefit OPEB plan administered by the City of Napavine as required by (RCW 41.26). The plan pays for 100% of eligible retirees’ healthcare costs on a pay-as-you-go basis. As of December 31, 20</w:t>
      </w:r>
      <w:r w:rsidR="00FE54CE" w:rsidRPr="00076E9E">
        <w:rPr>
          <w:rFonts w:ascii="Cambria" w:hAnsi="Cambria" w:cstheme="minorHAnsi"/>
        </w:rPr>
        <w:t>2</w:t>
      </w:r>
      <w:r w:rsidR="00C60417">
        <w:rPr>
          <w:rFonts w:ascii="Cambria" w:hAnsi="Cambria" w:cstheme="minorHAnsi"/>
        </w:rPr>
        <w:t>4</w:t>
      </w:r>
      <w:r w:rsidRPr="00076E9E">
        <w:rPr>
          <w:rFonts w:ascii="Cambria" w:hAnsi="Cambria" w:cstheme="minorHAnsi"/>
        </w:rPr>
        <w:t xml:space="preserve">, the plan had </w:t>
      </w:r>
      <w:r w:rsidR="00FE54CE" w:rsidRPr="00076E9E">
        <w:rPr>
          <w:rFonts w:ascii="Cambria" w:hAnsi="Cambria" w:cstheme="minorHAnsi"/>
        </w:rPr>
        <w:t>one</w:t>
      </w:r>
      <w:r w:rsidRPr="00076E9E">
        <w:rPr>
          <w:rFonts w:ascii="Cambria" w:hAnsi="Cambria" w:cstheme="minorHAnsi"/>
        </w:rPr>
        <w:t xml:space="preserve"> member, a retiree. As of December 31, 20</w:t>
      </w:r>
      <w:r w:rsidR="00FE54CE" w:rsidRPr="00076E9E">
        <w:rPr>
          <w:rFonts w:ascii="Cambria" w:hAnsi="Cambria" w:cstheme="minorHAnsi"/>
        </w:rPr>
        <w:t>2</w:t>
      </w:r>
      <w:r w:rsidR="00C60417">
        <w:rPr>
          <w:rFonts w:ascii="Cambria" w:hAnsi="Cambria" w:cstheme="minorHAnsi"/>
        </w:rPr>
        <w:t>4</w:t>
      </w:r>
      <w:r w:rsidRPr="00076E9E">
        <w:rPr>
          <w:rFonts w:ascii="Cambria" w:hAnsi="Cambria" w:cstheme="minorHAnsi"/>
        </w:rPr>
        <w:t xml:space="preserve">, the </w:t>
      </w:r>
      <w:r w:rsidR="00FE54CE" w:rsidRPr="00076E9E">
        <w:rPr>
          <w:rFonts w:ascii="Cambria" w:hAnsi="Cambria" w:cstheme="minorHAnsi"/>
        </w:rPr>
        <w:t>City’s</w:t>
      </w:r>
      <w:r w:rsidRPr="00076E9E">
        <w:rPr>
          <w:rFonts w:ascii="Cambria" w:hAnsi="Cambria" w:cstheme="minorHAnsi"/>
        </w:rPr>
        <w:t xml:space="preserve"> total OPEB </w:t>
      </w:r>
      <w:r w:rsidRPr="00C2641B">
        <w:rPr>
          <w:rFonts w:ascii="Cambria" w:hAnsi="Cambria" w:cstheme="minorHAnsi"/>
        </w:rPr>
        <w:t xml:space="preserve">liability </w:t>
      </w:r>
      <w:r w:rsidRPr="00000ADF">
        <w:rPr>
          <w:rFonts w:ascii="Cambria" w:hAnsi="Cambria" w:cstheme="minorHAnsi"/>
        </w:rPr>
        <w:t xml:space="preserve">was </w:t>
      </w:r>
      <w:r w:rsidR="00FE54CE" w:rsidRPr="00000ADF">
        <w:rPr>
          <w:rFonts w:ascii="Cambria" w:hAnsi="Cambria" w:cstheme="minorHAnsi"/>
        </w:rPr>
        <w:t>$</w:t>
      </w:r>
      <w:r w:rsidR="00C2641B" w:rsidRPr="00000ADF">
        <w:rPr>
          <w:rFonts w:ascii="Cambria" w:hAnsi="Cambria" w:cstheme="minorHAnsi"/>
        </w:rPr>
        <w:t>-0-</w:t>
      </w:r>
      <w:r w:rsidRPr="00000ADF">
        <w:rPr>
          <w:rFonts w:ascii="Cambria" w:hAnsi="Cambria" w:cstheme="minorHAnsi"/>
        </w:rPr>
        <w:t>, as calculated using the alternative measurement method. For the year ended December 31, 20</w:t>
      </w:r>
      <w:r w:rsidR="00FE54CE" w:rsidRPr="00000ADF">
        <w:rPr>
          <w:rFonts w:ascii="Cambria" w:hAnsi="Cambria" w:cstheme="minorHAnsi"/>
        </w:rPr>
        <w:t>2</w:t>
      </w:r>
      <w:r w:rsidR="00C60417">
        <w:rPr>
          <w:rFonts w:ascii="Cambria" w:hAnsi="Cambria" w:cstheme="minorHAnsi"/>
        </w:rPr>
        <w:t>4</w:t>
      </w:r>
      <w:r w:rsidRPr="00000ADF">
        <w:rPr>
          <w:rFonts w:ascii="Cambria" w:hAnsi="Cambria" w:cstheme="minorHAnsi"/>
        </w:rPr>
        <w:t xml:space="preserve">, </w:t>
      </w:r>
      <w:r w:rsidRPr="00076E9E">
        <w:rPr>
          <w:rFonts w:ascii="Cambria" w:hAnsi="Cambria" w:cstheme="minorHAnsi"/>
        </w:rPr>
        <w:t xml:space="preserve">the </w:t>
      </w:r>
      <w:r w:rsidR="00FE54CE" w:rsidRPr="00076E9E">
        <w:rPr>
          <w:rFonts w:ascii="Cambria" w:hAnsi="Cambria" w:cstheme="minorHAnsi"/>
        </w:rPr>
        <w:t>city</w:t>
      </w:r>
      <w:r w:rsidRPr="00076E9E">
        <w:rPr>
          <w:rFonts w:ascii="Cambria" w:hAnsi="Cambria" w:cstheme="minorHAnsi"/>
        </w:rPr>
        <w:t xml:space="preserve"> </w:t>
      </w:r>
      <w:r w:rsidRPr="00CE2A8F">
        <w:rPr>
          <w:rFonts w:ascii="Cambria" w:hAnsi="Cambria" w:cstheme="minorHAnsi"/>
        </w:rPr>
        <w:t>paid $</w:t>
      </w:r>
      <w:r w:rsidR="00C60417">
        <w:rPr>
          <w:rFonts w:ascii="Cambria" w:hAnsi="Cambria" w:cstheme="minorHAnsi"/>
        </w:rPr>
        <w:t>5,393.92</w:t>
      </w:r>
      <w:r w:rsidRPr="00076E9E">
        <w:rPr>
          <w:rFonts w:ascii="Cambria" w:hAnsi="Cambria" w:cstheme="minorHAnsi"/>
        </w:rPr>
        <w:t xml:space="preserve"> in benefits.</w:t>
      </w:r>
    </w:p>
    <w:p w14:paraId="3A19DE4F" w14:textId="77777777" w:rsidR="00B53CFE" w:rsidRDefault="00B53CFE" w:rsidP="00646E37">
      <w:pPr>
        <w:spacing w:after="0" w:line="240" w:lineRule="auto"/>
        <w:jc w:val="both"/>
        <w:rPr>
          <w:rFonts w:ascii="Cambria" w:hAnsi="Cambria" w:cstheme="minorHAnsi"/>
          <w:b/>
          <w:bCs/>
          <w:i/>
          <w:iCs/>
        </w:rPr>
      </w:pPr>
    </w:p>
    <w:p w14:paraId="6DAA0FF7" w14:textId="3DF28161" w:rsidR="00517356" w:rsidRPr="00517356" w:rsidRDefault="00517356" w:rsidP="00646E37">
      <w:pPr>
        <w:spacing w:after="0" w:line="240" w:lineRule="auto"/>
        <w:jc w:val="both"/>
        <w:rPr>
          <w:rFonts w:ascii="Cambria" w:hAnsi="Cambria" w:cstheme="minorHAnsi"/>
        </w:rPr>
      </w:pPr>
      <w:r w:rsidRPr="00517356">
        <w:rPr>
          <w:rFonts w:ascii="Cambria" w:hAnsi="Cambria" w:cstheme="minorHAnsi"/>
          <w:b/>
          <w:bCs/>
        </w:rPr>
        <w:t xml:space="preserve">Note </w:t>
      </w:r>
      <w:r w:rsidR="001E0E88">
        <w:rPr>
          <w:rFonts w:ascii="Cambria" w:hAnsi="Cambria" w:cstheme="minorHAnsi"/>
          <w:b/>
          <w:bCs/>
        </w:rPr>
        <w:t>7</w:t>
      </w:r>
      <w:r w:rsidRPr="00517356">
        <w:rPr>
          <w:rFonts w:ascii="Cambria" w:hAnsi="Cambria" w:cstheme="minorHAnsi"/>
          <w:b/>
          <w:bCs/>
        </w:rPr>
        <w:t xml:space="preserve"> – Pension Plans</w:t>
      </w:r>
    </w:p>
    <w:p w14:paraId="7D5B8B41" w14:textId="77777777" w:rsidR="00076E9E" w:rsidRDefault="00076E9E" w:rsidP="00646E37">
      <w:pPr>
        <w:spacing w:after="0" w:line="240" w:lineRule="auto"/>
        <w:jc w:val="both"/>
        <w:rPr>
          <w:rFonts w:ascii="Cambria" w:hAnsi="Cambria" w:cstheme="minorHAnsi"/>
        </w:rPr>
      </w:pPr>
    </w:p>
    <w:p w14:paraId="30335F42" w14:textId="1BD60A72" w:rsidR="00517356" w:rsidRPr="00517356" w:rsidRDefault="00517356" w:rsidP="00646E37">
      <w:pPr>
        <w:spacing w:after="0" w:line="240" w:lineRule="auto"/>
        <w:jc w:val="both"/>
        <w:rPr>
          <w:rFonts w:ascii="Cambria" w:hAnsi="Cambria" w:cstheme="minorHAnsi"/>
        </w:rPr>
      </w:pPr>
      <w:r w:rsidRPr="00517356">
        <w:rPr>
          <w:rFonts w:ascii="Cambria" w:hAnsi="Cambria" w:cstheme="minorHAnsi"/>
        </w:rPr>
        <w:t xml:space="preserve">A. </w:t>
      </w:r>
      <w:r w:rsidRPr="003327A9">
        <w:rPr>
          <w:rFonts w:ascii="Cambria" w:hAnsi="Cambria" w:cstheme="minorHAnsi"/>
          <w:u w:val="single"/>
        </w:rPr>
        <w:t>State Sponsored Pension Plans</w:t>
      </w:r>
      <w:r w:rsidRPr="00517356">
        <w:rPr>
          <w:rFonts w:ascii="Cambria" w:hAnsi="Cambria" w:cstheme="minorHAnsi"/>
        </w:rPr>
        <w:t> </w:t>
      </w:r>
    </w:p>
    <w:p w14:paraId="3DDA2970" w14:textId="31A9E0AD" w:rsidR="00517356" w:rsidRDefault="00517356" w:rsidP="00646E37">
      <w:pPr>
        <w:spacing w:after="0" w:line="240" w:lineRule="auto"/>
        <w:jc w:val="both"/>
        <w:rPr>
          <w:rFonts w:ascii="Cambria" w:hAnsi="Cambria" w:cstheme="minorHAnsi"/>
        </w:rPr>
      </w:pPr>
      <w:r w:rsidRPr="00517356">
        <w:rPr>
          <w:rFonts w:ascii="Cambria" w:hAnsi="Cambria" w:cstheme="minorHAnsi"/>
        </w:rPr>
        <w:t xml:space="preserve">Substantially all </w:t>
      </w:r>
      <w:r w:rsidR="00A44C14">
        <w:rPr>
          <w:rFonts w:ascii="Cambria" w:hAnsi="Cambria" w:cstheme="minorHAnsi"/>
        </w:rPr>
        <w:t xml:space="preserve">City of </w:t>
      </w:r>
      <w:proofErr w:type="spellStart"/>
      <w:r w:rsidR="00A44C14">
        <w:rPr>
          <w:rFonts w:ascii="Cambria" w:hAnsi="Cambria" w:cstheme="minorHAnsi"/>
        </w:rPr>
        <w:t>Napavine’s</w:t>
      </w:r>
      <w:proofErr w:type="spellEnd"/>
      <w:r w:rsidRPr="00517356">
        <w:rPr>
          <w:rFonts w:ascii="Cambria" w:hAnsi="Cambria" w:cstheme="minorHAnsi"/>
        </w:rPr>
        <w:t xml:space="preserve"> full-time and qualifying part-time employees participate in the following statewide retirement systems administered by the Washington State Department of Retirement Systems (DRS), under cost-sharing, multiple-employer public employee defined benefit </w:t>
      </w:r>
      <w:r w:rsidRPr="00517356">
        <w:rPr>
          <w:rFonts w:ascii="Cambria" w:hAnsi="Cambria" w:cstheme="minorHAnsi"/>
        </w:rPr>
        <w:lastRenderedPageBreak/>
        <w:t xml:space="preserve">and defined contribution retirement plans </w:t>
      </w:r>
      <w:r w:rsidR="00FD2BB3">
        <w:rPr>
          <w:rFonts w:ascii="Cambria" w:hAnsi="Cambria" w:cstheme="minorHAnsi"/>
        </w:rPr>
        <w:t>Public Employment Retirement System (PERS 2) and Law Enforcement Officers’ and Fire Fighters’ Retirement System (LEOFF 2)</w:t>
      </w:r>
      <w:r w:rsidR="00C45DD8">
        <w:rPr>
          <w:rFonts w:ascii="Cambria" w:hAnsi="Cambria" w:cstheme="minorHAnsi"/>
        </w:rPr>
        <w:t>.</w:t>
      </w:r>
    </w:p>
    <w:p w14:paraId="7BB23909" w14:textId="77777777" w:rsidR="00C45DD8" w:rsidRPr="00517356" w:rsidRDefault="00C45DD8" w:rsidP="00646E37">
      <w:pPr>
        <w:spacing w:after="0" w:line="240" w:lineRule="auto"/>
        <w:jc w:val="both"/>
        <w:rPr>
          <w:rFonts w:ascii="Cambria" w:hAnsi="Cambria" w:cstheme="minorHAnsi"/>
        </w:rPr>
      </w:pPr>
    </w:p>
    <w:p w14:paraId="75748BF2" w14:textId="7F43142A" w:rsidR="00517356" w:rsidRDefault="00517356" w:rsidP="00646E37">
      <w:pPr>
        <w:spacing w:after="0" w:line="240" w:lineRule="auto"/>
        <w:jc w:val="both"/>
        <w:rPr>
          <w:rFonts w:ascii="Cambria" w:hAnsi="Cambria" w:cstheme="minorHAnsi"/>
        </w:rPr>
      </w:pPr>
      <w:r w:rsidRPr="00517356">
        <w:rPr>
          <w:rFonts w:ascii="Cambria" w:hAnsi="Cambria" w:cstheme="minorHAnsi"/>
        </w:rPr>
        <w:t>The State Legislature establishes, and amends, laws pertaining to the creation and administration of all public retirement systems.</w:t>
      </w:r>
    </w:p>
    <w:p w14:paraId="4B697FE0" w14:textId="77777777" w:rsidR="00C45DD8" w:rsidRPr="00517356" w:rsidRDefault="00C45DD8" w:rsidP="00646E37">
      <w:pPr>
        <w:spacing w:after="0" w:line="240" w:lineRule="auto"/>
        <w:jc w:val="both"/>
        <w:rPr>
          <w:rFonts w:ascii="Cambria" w:hAnsi="Cambria" w:cstheme="minorHAnsi"/>
        </w:rPr>
      </w:pPr>
    </w:p>
    <w:p w14:paraId="1329B016" w14:textId="77777777" w:rsidR="00517356" w:rsidRPr="00517356" w:rsidRDefault="00517356" w:rsidP="00646E37">
      <w:pPr>
        <w:spacing w:after="0" w:line="240" w:lineRule="auto"/>
        <w:jc w:val="both"/>
        <w:rPr>
          <w:rFonts w:ascii="Cambria" w:hAnsi="Cambria" w:cstheme="minorHAnsi"/>
        </w:rPr>
      </w:pPr>
      <w:r w:rsidRPr="00517356">
        <w:rPr>
          <w:rFonts w:ascii="Cambria" w:hAnsi="Cambria" w:cstheme="minorHAnsi"/>
        </w:rPr>
        <w:t>The Department of Retirement Systems, a department within the primary government of the State of Washington, issues a publicly available Annual Comprehensive Financial Report (ACFR) that includes financial statements and required supplementary information for each plan. The DRS ACFR may be obtained by writing to:</w:t>
      </w:r>
    </w:p>
    <w:p w14:paraId="4155087F" w14:textId="77777777" w:rsidR="00517356" w:rsidRPr="00517356" w:rsidRDefault="00517356" w:rsidP="00FE2C3E">
      <w:pPr>
        <w:spacing w:after="0" w:line="240" w:lineRule="auto"/>
        <w:jc w:val="center"/>
        <w:rPr>
          <w:rFonts w:ascii="Cambria" w:hAnsi="Cambria" w:cstheme="minorHAnsi"/>
        </w:rPr>
      </w:pPr>
      <w:r w:rsidRPr="00517356">
        <w:rPr>
          <w:rFonts w:ascii="Cambria" w:hAnsi="Cambria" w:cstheme="minorHAnsi"/>
        </w:rPr>
        <w:t>Department of Retirement Systems</w:t>
      </w:r>
      <w:r w:rsidRPr="00517356">
        <w:rPr>
          <w:rFonts w:ascii="Cambria" w:hAnsi="Cambria" w:cstheme="minorHAnsi"/>
        </w:rPr>
        <w:br/>
        <w:t>Communications Unit</w:t>
      </w:r>
      <w:r w:rsidRPr="00517356">
        <w:rPr>
          <w:rFonts w:ascii="Cambria" w:hAnsi="Cambria" w:cstheme="minorHAnsi"/>
        </w:rPr>
        <w:br/>
        <w:t>P.O. Box 48380</w:t>
      </w:r>
      <w:r w:rsidRPr="00517356">
        <w:rPr>
          <w:rFonts w:ascii="Cambria" w:hAnsi="Cambria" w:cstheme="minorHAnsi"/>
        </w:rPr>
        <w:br/>
        <w:t>Olympia, WA 98540-8380</w:t>
      </w:r>
    </w:p>
    <w:p w14:paraId="25296A2A" w14:textId="77777777" w:rsidR="00FE2C3E" w:rsidRDefault="00FE2C3E" w:rsidP="00646E37">
      <w:pPr>
        <w:spacing w:after="0" w:line="240" w:lineRule="auto"/>
        <w:jc w:val="both"/>
        <w:rPr>
          <w:rFonts w:ascii="Cambria" w:hAnsi="Cambria" w:cstheme="minorHAnsi"/>
        </w:rPr>
      </w:pPr>
    </w:p>
    <w:p w14:paraId="7633B511" w14:textId="32E8B9B7" w:rsidR="00517356" w:rsidRPr="00517356" w:rsidRDefault="00517356" w:rsidP="00646E37">
      <w:pPr>
        <w:spacing w:after="0" w:line="240" w:lineRule="auto"/>
        <w:jc w:val="both"/>
        <w:rPr>
          <w:rFonts w:ascii="Cambria" w:hAnsi="Cambria" w:cstheme="minorHAnsi"/>
        </w:rPr>
      </w:pPr>
      <w:r w:rsidRPr="00517356">
        <w:rPr>
          <w:rFonts w:ascii="Cambria" w:hAnsi="Cambria" w:cstheme="minorHAnsi"/>
        </w:rPr>
        <w:t>Also, the DRS ACFR may be downloaded from the DRS website at </w:t>
      </w:r>
      <w:hyperlink r:id="rId15" w:tgtFrame="_blank" w:history="1">
        <w:r w:rsidRPr="00517356">
          <w:rPr>
            <w:rStyle w:val="Hyperlink"/>
            <w:rFonts w:ascii="Cambria" w:hAnsi="Cambria" w:cstheme="minorHAnsi"/>
          </w:rPr>
          <w:t>www.drs.wa.gov</w:t>
        </w:r>
      </w:hyperlink>
      <w:r w:rsidRPr="00517356">
        <w:rPr>
          <w:rFonts w:ascii="Cambria" w:hAnsi="Cambria" w:cstheme="minorHAnsi"/>
        </w:rPr>
        <w:t>.</w:t>
      </w:r>
    </w:p>
    <w:p w14:paraId="0685152D" w14:textId="77777777" w:rsidR="00A44C14" w:rsidRDefault="00A44C14" w:rsidP="00646E37">
      <w:pPr>
        <w:spacing w:after="0" w:line="240" w:lineRule="auto"/>
        <w:jc w:val="both"/>
        <w:rPr>
          <w:rFonts w:ascii="Cambria" w:hAnsi="Cambria" w:cstheme="minorHAnsi"/>
        </w:rPr>
      </w:pPr>
    </w:p>
    <w:p w14:paraId="45644CBE" w14:textId="37763359" w:rsidR="00517356" w:rsidRDefault="00517356" w:rsidP="00646E37">
      <w:pPr>
        <w:spacing w:after="0" w:line="240" w:lineRule="auto"/>
        <w:jc w:val="both"/>
        <w:rPr>
          <w:rFonts w:ascii="Cambria" w:hAnsi="Cambria" w:cstheme="minorHAnsi"/>
        </w:rPr>
      </w:pPr>
      <w:proofErr w:type="gramStart"/>
      <w:r w:rsidRPr="00517356">
        <w:rPr>
          <w:rFonts w:ascii="Cambria" w:hAnsi="Cambria" w:cstheme="minorHAnsi"/>
        </w:rPr>
        <w:t>A</w:t>
      </w:r>
      <w:r w:rsidR="00A44C14">
        <w:rPr>
          <w:rFonts w:ascii="Cambria" w:hAnsi="Cambria" w:cstheme="minorHAnsi"/>
        </w:rPr>
        <w:t>t</w:t>
      </w:r>
      <w:proofErr w:type="gramEnd"/>
      <w:r w:rsidR="00A44C14">
        <w:rPr>
          <w:rFonts w:ascii="Cambria" w:hAnsi="Cambria" w:cstheme="minorHAnsi"/>
        </w:rPr>
        <w:t xml:space="preserve"> </w:t>
      </w:r>
      <w:r w:rsidRPr="00517356">
        <w:rPr>
          <w:rFonts w:ascii="Cambria" w:hAnsi="Cambria" w:cstheme="minorHAnsi"/>
        </w:rPr>
        <w:t xml:space="preserve">June 30, </w:t>
      </w:r>
      <w:proofErr w:type="gramStart"/>
      <w:r w:rsidRPr="00517356">
        <w:rPr>
          <w:rFonts w:ascii="Cambria" w:hAnsi="Cambria" w:cstheme="minorHAnsi"/>
        </w:rPr>
        <w:t>20</w:t>
      </w:r>
      <w:r w:rsidR="00FD2BB3">
        <w:rPr>
          <w:rFonts w:ascii="Cambria" w:hAnsi="Cambria" w:cstheme="minorHAnsi"/>
        </w:rPr>
        <w:t>2</w:t>
      </w:r>
      <w:r w:rsidR="00C60417">
        <w:rPr>
          <w:rFonts w:ascii="Cambria" w:hAnsi="Cambria" w:cstheme="minorHAnsi"/>
        </w:rPr>
        <w:t>4</w:t>
      </w:r>
      <w:proofErr w:type="gramEnd"/>
      <w:r w:rsidRPr="00517356">
        <w:rPr>
          <w:rFonts w:ascii="Cambria" w:hAnsi="Cambria" w:cstheme="minorHAnsi"/>
        </w:rPr>
        <w:t xml:space="preserve"> the </w:t>
      </w:r>
      <w:r w:rsidR="00A44C14">
        <w:rPr>
          <w:rFonts w:ascii="Cambria" w:hAnsi="Cambria" w:cstheme="minorHAnsi"/>
        </w:rPr>
        <w:t xml:space="preserve">City of </w:t>
      </w:r>
      <w:proofErr w:type="spellStart"/>
      <w:r w:rsidR="00A44C14">
        <w:rPr>
          <w:rFonts w:ascii="Cambria" w:hAnsi="Cambria" w:cstheme="minorHAnsi"/>
        </w:rPr>
        <w:t>Napavine’s</w:t>
      </w:r>
      <w:proofErr w:type="spellEnd"/>
      <w:r w:rsidRPr="00517356">
        <w:rPr>
          <w:rFonts w:ascii="Cambria" w:hAnsi="Cambria" w:cstheme="minorHAnsi"/>
        </w:rPr>
        <w:t xml:space="preserve"> proportionate share of the collective net pension liabilities, as reported on the Schedule of Liabilities, was as follows:</w:t>
      </w:r>
      <w:r w:rsidR="001013C9" w:rsidRPr="00517356">
        <w:rPr>
          <w:rFonts w:ascii="Cambria" w:hAnsi="Cambria" w:cstheme="minorHAnsi"/>
        </w:rPr>
        <w:t xml:space="preserve"> </w:t>
      </w:r>
    </w:p>
    <w:p w14:paraId="5755E7A6" w14:textId="77777777" w:rsidR="00464D6A" w:rsidRDefault="00464D6A" w:rsidP="00646E37">
      <w:pPr>
        <w:spacing w:after="0" w:line="240" w:lineRule="auto"/>
        <w:jc w:val="both"/>
        <w:rPr>
          <w:rFonts w:ascii="Cambria" w:hAnsi="Cambria" w:cstheme="minorHAnsi"/>
        </w:rPr>
      </w:pPr>
    </w:p>
    <w:p w14:paraId="0B747ECF" w14:textId="77777777" w:rsidR="00076E9E" w:rsidRPr="00517356" w:rsidRDefault="00076E9E" w:rsidP="00646E37">
      <w:pPr>
        <w:spacing w:after="0" w:line="240" w:lineRule="auto"/>
        <w:jc w:val="both"/>
        <w:rPr>
          <w:rFonts w:ascii="Cambria" w:hAnsi="Cambria" w:cstheme="minorHAnsi"/>
        </w:rPr>
      </w:pPr>
    </w:p>
    <w:tbl>
      <w:tblPr>
        <w:tblW w:w="6929" w:type="dxa"/>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1342"/>
        <w:gridCol w:w="2348"/>
        <w:gridCol w:w="1702"/>
        <w:gridCol w:w="1537"/>
      </w:tblGrid>
      <w:tr w:rsidR="00517356" w:rsidRPr="00517356" w14:paraId="08D4B247" w14:textId="77777777" w:rsidTr="0062187C">
        <w:tc>
          <w:tcPr>
            <w:tcW w:w="1342" w:type="dxa"/>
            <w:tcBorders>
              <w:top w:val="single" w:sz="6" w:space="0" w:color="AAAAAA"/>
              <w:left w:val="single" w:sz="6" w:space="0" w:color="AAAAAA"/>
              <w:bottom w:val="single" w:sz="6" w:space="0" w:color="AAAAAA"/>
              <w:right w:val="single" w:sz="6" w:space="0" w:color="AAAAAA"/>
            </w:tcBorders>
            <w:tcMar>
              <w:top w:w="150" w:type="dxa"/>
              <w:left w:w="150" w:type="dxa"/>
              <w:bottom w:w="150" w:type="dxa"/>
              <w:right w:w="150" w:type="dxa"/>
            </w:tcMar>
            <w:hideMark/>
          </w:tcPr>
          <w:p w14:paraId="33E0F4C8" w14:textId="77777777" w:rsidR="00517356" w:rsidRPr="00517356" w:rsidRDefault="00517356" w:rsidP="00646E37">
            <w:pPr>
              <w:spacing w:after="0" w:line="240" w:lineRule="auto"/>
              <w:jc w:val="both"/>
              <w:rPr>
                <w:rFonts w:ascii="Cambria" w:hAnsi="Cambria" w:cstheme="minorHAnsi"/>
              </w:rPr>
            </w:pPr>
            <w:r w:rsidRPr="00517356">
              <w:rPr>
                <w:rFonts w:ascii="Cambria" w:hAnsi="Cambria" w:cstheme="minorHAnsi"/>
              </w:rPr>
              <w:t> </w:t>
            </w:r>
          </w:p>
        </w:tc>
        <w:tc>
          <w:tcPr>
            <w:tcW w:w="2348" w:type="dxa"/>
            <w:tcBorders>
              <w:top w:val="single" w:sz="6" w:space="0" w:color="AAAAAA"/>
              <w:left w:val="single" w:sz="6" w:space="0" w:color="AAAAAA"/>
              <w:bottom w:val="single" w:sz="6" w:space="0" w:color="AAAAAA"/>
              <w:right w:val="single" w:sz="6" w:space="0" w:color="AAAAAA"/>
            </w:tcBorders>
            <w:tcMar>
              <w:top w:w="150" w:type="dxa"/>
              <w:left w:w="150" w:type="dxa"/>
              <w:bottom w:w="150" w:type="dxa"/>
              <w:right w:w="150" w:type="dxa"/>
            </w:tcMar>
            <w:hideMark/>
          </w:tcPr>
          <w:p w14:paraId="581B7BBD" w14:textId="77777777" w:rsidR="00517356" w:rsidRPr="00517356" w:rsidRDefault="00517356" w:rsidP="00646E37">
            <w:pPr>
              <w:spacing w:after="0" w:line="240" w:lineRule="auto"/>
              <w:jc w:val="both"/>
              <w:rPr>
                <w:rFonts w:ascii="Cambria" w:hAnsi="Cambria" w:cstheme="minorHAnsi"/>
              </w:rPr>
            </w:pPr>
            <w:r w:rsidRPr="00517356">
              <w:rPr>
                <w:rFonts w:ascii="Cambria" w:hAnsi="Cambria" w:cstheme="minorHAnsi"/>
              </w:rPr>
              <w:t>Employer Contributions</w:t>
            </w:r>
          </w:p>
        </w:tc>
        <w:tc>
          <w:tcPr>
            <w:tcW w:w="1702" w:type="dxa"/>
            <w:tcBorders>
              <w:top w:val="single" w:sz="6" w:space="0" w:color="AAAAAA"/>
              <w:left w:val="single" w:sz="6" w:space="0" w:color="AAAAAA"/>
              <w:bottom w:val="single" w:sz="6" w:space="0" w:color="AAAAAA"/>
              <w:right w:val="single" w:sz="6" w:space="0" w:color="AAAAAA"/>
            </w:tcBorders>
            <w:tcMar>
              <w:top w:w="150" w:type="dxa"/>
              <w:left w:w="150" w:type="dxa"/>
              <w:bottom w:w="150" w:type="dxa"/>
              <w:right w:w="150" w:type="dxa"/>
            </w:tcMar>
            <w:hideMark/>
          </w:tcPr>
          <w:p w14:paraId="3166EEC2" w14:textId="77777777" w:rsidR="00517356" w:rsidRPr="00517356" w:rsidRDefault="00517356" w:rsidP="00646E37">
            <w:pPr>
              <w:spacing w:after="0" w:line="240" w:lineRule="auto"/>
              <w:jc w:val="both"/>
              <w:rPr>
                <w:rFonts w:ascii="Cambria" w:hAnsi="Cambria" w:cstheme="minorHAnsi"/>
              </w:rPr>
            </w:pPr>
            <w:r w:rsidRPr="00517356">
              <w:rPr>
                <w:rFonts w:ascii="Cambria" w:hAnsi="Cambria" w:cstheme="minorHAnsi"/>
              </w:rPr>
              <w:t>Allocation %</w:t>
            </w:r>
          </w:p>
        </w:tc>
        <w:tc>
          <w:tcPr>
            <w:tcW w:w="1537" w:type="dxa"/>
            <w:tcBorders>
              <w:top w:val="single" w:sz="6" w:space="0" w:color="AAAAAA"/>
              <w:left w:val="single" w:sz="6" w:space="0" w:color="AAAAAA"/>
              <w:bottom w:val="single" w:sz="6" w:space="0" w:color="AAAAAA"/>
              <w:right w:val="single" w:sz="6" w:space="0" w:color="AAAAAA"/>
            </w:tcBorders>
            <w:tcMar>
              <w:top w:w="150" w:type="dxa"/>
              <w:left w:w="150" w:type="dxa"/>
              <w:bottom w:w="150" w:type="dxa"/>
              <w:right w:w="150" w:type="dxa"/>
            </w:tcMar>
            <w:hideMark/>
          </w:tcPr>
          <w:p w14:paraId="54E24DEF" w14:textId="77777777" w:rsidR="00517356" w:rsidRPr="00517356" w:rsidRDefault="00517356" w:rsidP="00646E37">
            <w:pPr>
              <w:spacing w:after="0" w:line="240" w:lineRule="auto"/>
              <w:jc w:val="both"/>
              <w:rPr>
                <w:rFonts w:ascii="Cambria" w:hAnsi="Cambria" w:cstheme="minorHAnsi"/>
              </w:rPr>
            </w:pPr>
            <w:r w:rsidRPr="00517356">
              <w:rPr>
                <w:rFonts w:ascii="Cambria" w:hAnsi="Cambria" w:cstheme="minorHAnsi"/>
              </w:rPr>
              <w:t>Liability (Asset)</w:t>
            </w:r>
          </w:p>
        </w:tc>
      </w:tr>
      <w:tr w:rsidR="00517356" w:rsidRPr="00517356" w14:paraId="3FD94825" w14:textId="77777777" w:rsidTr="0062187C">
        <w:tc>
          <w:tcPr>
            <w:tcW w:w="1342" w:type="dxa"/>
            <w:tcBorders>
              <w:top w:val="single" w:sz="6" w:space="0" w:color="AAAAAA"/>
              <w:left w:val="single" w:sz="6" w:space="0" w:color="AAAAAA"/>
              <w:bottom w:val="single" w:sz="6" w:space="0" w:color="AAAAAA"/>
              <w:right w:val="single" w:sz="6" w:space="0" w:color="AAAAAA"/>
            </w:tcBorders>
            <w:tcMar>
              <w:top w:w="150" w:type="dxa"/>
              <w:left w:w="150" w:type="dxa"/>
              <w:bottom w:w="150" w:type="dxa"/>
              <w:right w:w="150" w:type="dxa"/>
            </w:tcMar>
            <w:hideMark/>
          </w:tcPr>
          <w:p w14:paraId="62C80936" w14:textId="77777777" w:rsidR="00517356" w:rsidRPr="000939A0" w:rsidRDefault="00517356" w:rsidP="00646E37">
            <w:pPr>
              <w:spacing w:after="0" w:line="240" w:lineRule="auto"/>
              <w:jc w:val="both"/>
              <w:rPr>
                <w:rFonts w:ascii="Cambria" w:hAnsi="Cambria" w:cstheme="minorHAnsi"/>
              </w:rPr>
            </w:pPr>
            <w:r w:rsidRPr="000939A0">
              <w:rPr>
                <w:rFonts w:ascii="Cambria" w:hAnsi="Cambria" w:cstheme="minorHAnsi"/>
              </w:rPr>
              <w:t>PERS 1</w:t>
            </w:r>
          </w:p>
        </w:tc>
        <w:tc>
          <w:tcPr>
            <w:tcW w:w="2348" w:type="dxa"/>
            <w:tcBorders>
              <w:top w:val="single" w:sz="6" w:space="0" w:color="AAAAAA"/>
              <w:left w:val="single" w:sz="6" w:space="0" w:color="AAAAAA"/>
              <w:bottom w:val="single" w:sz="6" w:space="0" w:color="AAAAAA"/>
              <w:right w:val="single" w:sz="6" w:space="0" w:color="AAAAAA"/>
            </w:tcBorders>
            <w:tcMar>
              <w:top w:w="150" w:type="dxa"/>
              <w:left w:w="150" w:type="dxa"/>
              <w:bottom w:w="150" w:type="dxa"/>
              <w:right w:w="150" w:type="dxa"/>
            </w:tcMar>
            <w:hideMark/>
          </w:tcPr>
          <w:p w14:paraId="2F163808" w14:textId="0107D877" w:rsidR="00517356" w:rsidRPr="000939A0" w:rsidRDefault="00517356" w:rsidP="00646E37">
            <w:pPr>
              <w:spacing w:after="0" w:line="240" w:lineRule="auto"/>
              <w:jc w:val="both"/>
              <w:rPr>
                <w:rFonts w:ascii="Cambria" w:hAnsi="Cambria" w:cstheme="minorHAnsi"/>
              </w:rPr>
            </w:pPr>
            <w:r w:rsidRPr="000939A0">
              <w:rPr>
                <w:rFonts w:ascii="Cambria" w:hAnsi="Cambria" w:cstheme="minorHAnsi"/>
              </w:rPr>
              <w:t> </w:t>
            </w:r>
            <w:r w:rsidR="00061C56" w:rsidRPr="000939A0">
              <w:rPr>
                <w:rFonts w:ascii="Cambria" w:hAnsi="Cambria" w:cstheme="minorHAnsi"/>
              </w:rPr>
              <w:t>$</w:t>
            </w:r>
            <w:r w:rsidR="009557C7" w:rsidRPr="000939A0">
              <w:rPr>
                <w:rFonts w:ascii="Cambria" w:hAnsi="Cambria" w:cstheme="minorHAnsi"/>
              </w:rPr>
              <w:t>2</w:t>
            </w:r>
            <w:r w:rsidR="00C60417">
              <w:rPr>
                <w:rFonts w:ascii="Cambria" w:hAnsi="Cambria" w:cstheme="minorHAnsi"/>
              </w:rPr>
              <w:t>4,415</w:t>
            </w:r>
          </w:p>
        </w:tc>
        <w:tc>
          <w:tcPr>
            <w:tcW w:w="1702" w:type="dxa"/>
            <w:tcBorders>
              <w:top w:val="single" w:sz="6" w:space="0" w:color="AAAAAA"/>
              <w:left w:val="single" w:sz="6" w:space="0" w:color="AAAAAA"/>
              <w:bottom w:val="single" w:sz="6" w:space="0" w:color="AAAAAA"/>
              <w:right w:val="single" w:sz="6" w:space="0" w:color="AAAAAA"/>
            </w:tcBorders>
            <w:tcMar>
              <w:top w:w="150" w:type="dxa"/>
              <w:left w:w="150" w:type="dxa"/>
              <w:bottom w:w="150" w:type="dxa"/>
              <w:right w:w="150" w:type="dxa"/>
            </w:tcMar>
            <w:hideMark/>
          </w:tcPr>
          <w:p w14:paraId="02705577" w14:textId="66B4AD8F" w:rsidR="00517356" w:rsidRPr="000939A0" w:rsidRDefault="001013C9" w:rsidP="00646E37">
            <w:pPr>
              <w:spacing w:after="0" w:line="240" w:lineRule="auto"/>
              <w:jc w:val="both"/>
              <w:rPr>
                <w:rFonts w:ascii="Cambria" w:hAnsi="Cambria" w:cstheme="minorHAnsi"/>
              </w:rPr>
            </w:pPr>
            <w:r w:rsidRPr="000939A0">
              <w:rPr>
                <w:rFonts w:ascii="Cambria" w:hAnsi="Cambria" w:cstheme="minorHAnsi"/>
              </w:rPr>
              <w:t>.00</w:t>
            </w:r>
            <w:r w:rsidR="00C60417">
              <w:rPr>
                <w:rFonts w:ascii="Cambria" w:hAnsi="Cambria" w:cstheme="minorHAnsi"/>
              </w:rPr>
              <w:t>4079</w:t>
            </w:r>
            <w:r w:rsidR="00517356" w:rsidRPr="000939A0">
              <w:rPr>
                <w:rFonts w:ascii="Cambria" w:hAnsi="Cambria" w:cstheme="minorHAnsi"/>
              </w:rPr>
              <w:t>%</w:t>
            </w:r>
          </w:p>
        </w:tc>
        <w:tc>
          <w:tcPr>
            <w:tcW w:w="1537" w:type="dxa"/>
            <w:tcBorders>
              <w:top w:val="single" w:sz="6" w:space="0" w:color="AAAAAA"/>
              <w:left w:val="single" w:sz="6" w:space="0" w:color="AAAAAA"/>
              <w:bottom w:val="single" w:sz="6" w:space="0" w:color="AAAAAA"/>
              <w:right w:val="single" w:sz="6" w:space="0" w:color="AAAAAA"/>
            </w:tcBorders>
            <w:tcMar>
              <w:top w:w="150" w:type="dxa"/>
              <w:left w:w="150" w:type="dxa"/>
              <w:bottom w:w="150" w:type="dxa"/>
              <w:right w:w="150" w:type="dxa"/>
            </w:tcMar>
            <w:hideMark/>
          </w:tcPr>
          <w:p w14:paraId="2A8B5F71" w14:textId="16B01EB7" w:rsidR="00517356" w:rsidRPr="000939A0" w:rsidRDefault="00517356" w:rsidP="00646E37">
            <w:pPr>
              <w:spacing w:after="0" w:line="240" w:lineRule="auto"/>
              <w:jc w:val="both"/>
              <w:rPr>
                <w:rFonts w:ascii="Cambria" w:hAnsi="Cambria" w:cstheme="minorHAnsi"/>
              </w:rPr>
            </w:pPr>
            <w:r w:rsidRPr="000939A0">
              <w:rPr>
                <w:rFonts w:ascii="Cambria" w:hAnsi="Cambria" w:cstheme="minorHAnsi"/>
              </w:rPr>
              <w:t>$</w:t>
            </w:r>
            <w:r w:rsidR="00C60417">
              <w:rPr>
                <w:rFonts w:ascii="Cambria" w:hAnsi="Cambria" w:cstheme="minorHAnsi"/>
              </w:rPr>
              <w:t>72,477</w:t>
            </w:r>
          </w:p>
        </w:tc>
      </w:tr>
      <w:tr w:rsidR="00517356" w:rsidRPr="00517356" w14:paraId="5526BBE9" w14:textId="77777777" w:rsidTr="0062187C">
        <w:tc>
          <w:tcPr>
            <w:tcW w:w="1342" w:type="dxa"/>
            <w:tcBorders>
              <w:top w:val="single" w:sz="6" w:space="0" w:color="AAAAAA"/>
              <w:left w:val="single" w:sz="6" w:space="0" w:color="AAAAAA"/>
              <w:bottom w:val="single" w:sz="6" w:space="0" w:color="AAAAAA"/>
              <w:right w:val="single" w:sz="6" w:space="0" w:color="AAAAAA"/>
            </w:tcBorders>
            <w:tcMar>
              <w:top w:w="150" w:type="dxa"/>
              <w:left w:w="150" w:type="dxa"/>
              <w:bottom w:w="150" w:type="dxa"/>
              <w:right w:w="150" w:type="dxa"/>
            </w:tcMar>
            <w:hideMark/>
          </w:tcPr>
          <w:p w14:paraId="0DB198F9" w14:textId="77777777" w:rsidR="00517356" w:rsidRPr="000939A0" w:rsidRDefault="00517356" w:rsidP="00646E37">
            <w:pPr>
              <w:spacing w:after="0" w:line="240" w:lineRule="auto"/>
              <w:jc w:val="both"/>
              <w:rPr>
                <w:rFonts w:ascii="Cambria" w:hAnsi="Cambria" w:cstheme="minorHAnsi"/>
              </w:rPr>
            </w:pPr>
            <w:r w:rsidRPr="000939A0">
              <w:rPr>
                <w:rFonts w:ascii="Cambria" w:hAnsi="Cambria" w:cstheme="minorHAnsi"/>
              </w:rPr>
              <w:t>PERS 2/3</w:t>
            </w:r>
          </w:p>
        </w:tc>
        <w:tc>
          <w:tcPr>
            <w:tcW w:w="2348" w:type="dxa"/>
            <w:tcBorders>
              <w:top w:val="single" w:sz="6" w:space="0" w:color="AAAAAA"/>
              <w:left w:val="single" w:sz="6" w:space="0" w:color="AAAAAA"/>
              <w:bottom w:val="single" w:sz="6" w:space="0" w:color="AAAAAA"/>
              <w:right w:val="single" w:sz="6" w:space="0" w:color="AAAAAA"/>
            </w:tcBorders>
            <w:tcMar>
              <w:top w:w="150" w:type="dxa"/>
              <w:left w:w="150" w:type="dxa"/>
              <w:bottom w:w="150" w:type="dxa"/>
              <w:right w:w="150" w:type="dxa"/>
            </w:tcMar>
            <w:hideMark/>
          </w:tcPr>
          <w:p w14:paraId="714640A7" w14:textId="44A9ED4D" w:rsidR="00517356" w:rsidRPr="000939A0" w:rsidRDefault="00517356" w:rsidP="00646E37">
            <w:pPr>
              <w:spacing w:after="0" w:line="240" w:lineRule="auto"/>
              <w:jc w:val="both"/>
              <w:rPr>
                <w:rFonts w:ascii="Cambria" w:hAnsi="Cambria" w:cstheme="minorHAnsi"/>
              </w:rPr>
            </w:pPr>
            <w:r w:rsidRPr="000939A0">
              <w:rPr>
                <w:rFonts w:ascii="Cambria" w:hAnsi="Cambria" w:cstheme="minorHAnsi"/>
              </w:rPr>
              <w:t> </w:t>
            </w:r>
            <w:r w:rsidR="00061C56" w:rsidRPr="000939A0">
              <w:rPr>
                <w:rFonts w:ascii="Cambria" w:hAnsi="Cambria" w:cstheme="minorHAnsi"/>
              </w:rPr>
              <w:t>$</w:t>
            </w:r>
            <w:r w:rsidR="00C60417">
              <w:rPr>
                <w:rFonts w:ascii="Cambria" w:hAnsi="Cambria" w:cstheme="minorHAnsi"/>
              </w:rPr>
              <w:t>51,381</w:t>
            </w:r>
          </w:p>
        </w:tc>
        <w:tc>
          <w:tcPr>
            <w:tcW w:w="1702" w:type="dxa"/>
            <w:tcBorders>
              <w:top w:val="single" w:sz="6" w:space="0" w:color="AAAAAA"/>
              <w:left w:val="single" w:sz="6" w:space="0" w:color="AAAAAA"/>
              <w:bottom w:val="single" w:sz="6" w:space="0" w:color="AAAAAA"/>
              <w:right w:val="single" w:sz="6" w:space="0" w:color="AAAAAA"/>
            </w:tcBorders>
            <w:tcMar>
              <w:top w:w="150" w:type="dxa"/>
              <w:left w:w="150" w:type="dxa"/>
              <w:bottom w:w="150" w:type="dxa"/>
              <w:right w:w="150" w:type="dxa"/>
            </w:tcMar>
            <w:hideMark/>
          </w:tcPr>
          <w:p w14:paraId="2F2B295A" w14:textId="1A187FC6" w:rsidR="00517356" w:rsidRPr="000939A0" w:rsidRDefault="001013C9" w:rsidP="00646E37">
            <w:pPr>
              <w:spacing w:after="0" w:line="240" w:lineRule="auto"/>
              <w:jc w:val="both"/>
              <w:rPr>
                <w:rFonts w:ascii="Cambria" w:hAnsi="Cambria" w:cstheme="minorHAnsi"/>
              </w:rPr>
            </w:pPr>
            <w:r w:rsidRPr="000939A0">
              <w:rPr>
                <w:rFonts w:ascii="Cambria" w:hAnsi="Cambria" w:cstheme="minorHAnsi"/>
              </w:rPr>
              <w:t>.</w:t>
            </w:r>
            <w:r w:rsidR="009557C7" w:rsidRPr="000939A0">
              <w:rPr>
                <w:rFonts w:ascii="Cambria" w:hAnsi="Cambria" w:cstheme="minorHAnsi"/>
              </w:rPr>
              <w:t>00</w:t>
            </w:r>
            <w:r w:rsidR="00C60417">
              <w:rPr>
                <w:rFonts w:ascii="Cambria" w:hAnsi="Cambria" w:cstheme="minorHAnsi"/>
              </w:rPr>
              <w:t>5220</w:t>
            </w:r>
            <w:r w:rsidRPr="000939A0">
              <w:rPr>
                <w:rFonts w:ascii="Cambria" w:hAnsi="Cambria" w:cstheme="minorHAnsi"/>
              </w:rPr>
              <w:t>%</w:t>
            </w:r>
            <w:r w:rsidR="00517356" w:rsidRPr="000939A0">
              <w:rPr>
                <w:rFonts w:ascii="Cambria" w:hAnsi="Cambria" w:cstheme="minorHAnsi"/>
              </w:rPr>
              <w:t> </w:t>
            </w:r>
          </w:p>
        </w:tc>
        <w:tc>
          <w:tcPr>
            <w:tcW w:w="1537" w:type="dxa"/>
            <w:tcBorders>
              <w:top w:val="single" w:sz="6" w:space="0" w:color="AAAAAA"/>
              <w:left w:val="single" w:sz="6" w:space="0" w:color="AAAAAA"/>
              <w:bottom w:val="single" w:sz="6" w:space="0" w:color="AAAAAA"/>
              <w:right w:val="single" w:sz="6" w:space="0" w:color="AAAAAA"/>
            </w:tcBorders>
            <w:tcMar>
              <w:top w:w="150" w:type="dxa"/>
              <w:left w:w="150" w:type="dxa"/>
              <w:bottom w:w="150" w:type="dxa"/>
              <w:right w:w="150" w:type="dxa"/>
            </w:tcMar>
            <w:hideMark/>
          </w:tcPr>
          <w:p w14:paraId="25DE1DB7" w14:textId="5BAF97A1" w:rsidR="00517356" w:rsidRPr="000939A0" w:rsidRDefault="004C7515" w:rsidP="00646E37">
            <w:pPr>
              <w:spacing w:after="0" w:line="240" w:lineRule="auto"/>
              <w:jc w:val="both"/>
              <w:rPr>
                <w:rFonts w:ascii="Cambria" w:hAnsi="Cambria" w:cstheme="minorHAnsi"/>
              </w:rPr>
            </w:pPr>
            <w:r w:rsidRPr="000939A0">
              <w:rPr>
                <w:rFonts w:ascii="Cambria" w:hAnsi="Cambria" w:cstheme="minorHAnsi"/>
              </w:rPr>
              <w:t>$(</w:t>
            </w:r>
            <w:r w:rsidR="009557C7" w:rsidRPr="000939A0">
              <w:rPr>
                <w:rFonts w:ascii="Cambria" w:hAnsi="Cambria" w:cstheme="minorHAnsi"/>
              </w:rPr>
              <w:t>1</w:t>
            </w:r>
            <w:r w:rsidR="00C60417">
              <w:rPr>
                <w:rFonts w:ascii="Cambria" w:hAnsi="Cambria" w:cstheme="minorHAnsi"/>
              </w:rPr>
              <w:t>72,081</w:t>
            </w:r>
            <w:r w:rsidRPr="000939A0">
              <w:rPr>
                <w:rFonts w:ascii="Cambria" w:hAnsi="Cambria" w:cstheme="minorHAnsi"/>
              </w:rPr>
              <w:t>)</w:t>
            </w:r>
          </w:p>
        </w:tc>
      </w:tr>
      <w:tr w:rsidR="00517356" w:rsidRPr="00517356" w14:paraId="2E161CE1" w14:textId="77777777" w:rsidTr="0062187C">
        <w:tc>
          <w:tcPr>
            <w:tcW w:w="1342" w:type="dxa"/>
            <w:tcBorders>
              <w:top w:val="single" w:sz="6" w:space="0" w:color="AAAAAA"/>
              <w:left w:val="single" w:sz="6" w:space="0" w:color="AAAAAA"/>
              <w:bottom w:val="single" w:sz="6" w:space="0" w:color="AAAAAA"/>
              <w:right w:val="single" w:sz="6" w:space="0" w:color="AAAAAA"/>
            </w:tcBorders>
            <w:tcMar>
              <w:top w:w="150" w:type="dxa"/>
              <w:left w:w="150" w:type="dxa"/>
              <w:bottom w:w="150" w:type="dxa"/>
              <w:right w:w="150" w:type="dxa"/>
            </w:tcMar>
            <w:hideMark/>
          </w:tcPr>
          <w:p w14:paraId="0CAB7F41" w14:textId="77777777" w:rsidR="00517356" w:rsidRPr="000939A0" w:rsidRDefault="00517356" w:rsidP="00646E37">
            <w:pPr>
              <w:spacing w:after="0" w:line="240" w:lineRule="auto"/>
              <w:jc w:val="both"/>
              <w:rPr>
                <w:rFonts w:ascii="Cambria" w:hAnsi="Cambria" w:cstheme="minorHAnsi"/>
              </w:rPr>
            </w:pPr>
            <w:r w:rsidRPr="000939A0">
              <w:rPr>
                <w:rFonts w:ascii="Cambria" w:hAnsi="Cambria" w:cstheme="minorHAnsi"/>
              </w:rPr>
              <w:t>LEOFF 1</w:t>
            </w:r>
          </w:p>
        </w:tc>
        <w:tc>
          <w:tcPr>
            <w:tcW w:w="2348" w:type="dxa"/>
            <w:tcBorders>
              <w:top w:val="single" w:sz="6" w:space="0" w:color="AAAAAA"/>
              <w:left w:val="single" w:sz="6" w:space="0" w:color="AAAAAA"/>
              <w:bottom w:val="single" w:sz="6" w:space="0" w:color="AAAAAA"/>
              <w:right w:val="single" w:sz="6" w:space="0" w:color="AAAAAA"/>
            </w:tcBorders>
            <w:tcMar>
              <w:top w:w="150" w:type="dxa"/>
              <w:left w:w="150" w:type="dxa"/>
              <w:bottom w:w="150" w:type="dxa"/>
              <w:right w:w="150" w:type="dxa"/>
            </w:tcMar>
            <w:hideMark/>
          </w:tcPr>
          <w:p w14:paraId="2A3D8A0D" w14:textId="6A7EA8FF" w:rsidR="00517356" w:rsidRPr="000939A0" w:rsidRDefault="00517356" w:rsidP="00646E37">
            <w:pPr>
              <w:spacing w:after="0" w:line="240" w:lineRule="auto"/>
              <w:jc w:val="both"/>
              <w:rPr>
                <w:rFonts w:ascii="Cambria" w:hAnsi="Cambria" w:cstheme="minorHAnsi"/>
              </w:rPr>
            </w:pPr>
            <w:r w:rsidRPr="000939A0">
              <w:rPr>
                <w:rFonts w:ascii="Cambria" w:hAnsi="Cambria" w:cstheme="minorHAnsi"/>
              </w:rPr>
              <w:t> </w:t>
            </w:r>
            <w:r w:rsidR="004C7515" w:rsidRPr="000939A0">
              <w:rPr>
                <w:rFonts w:ascii="Cambria" w:hAnsi="Cambria" w:cstheme="minorHAnsi"/>
              </w:rPr>
              <w:t>N/A</w:t>
            </w:r>
          </w:p>
        </w:tc>
        <w:tc>
          <w:tcPr>
            <w:tcW w:w="1702" w:type="dxa"/>
            <w:tcBorders>
              <w:top w:val="single" w:sz="6" w:space="0" w:color="AAAAAA"/>
              <w:left w:val="single" w:sz="6" w:space="0" w:color="AAAAAA"/>
              <w:bottom w:val="single" w:sz="6" w:space="0" w:color="AAAAAA"/>
              <w:right w:val="single" w:sz="6" w:space="0" w:color="AAAAAA"/>
            </w:tcBorders>
            <w:tcMar>
              <w:top w:w="150" w:type="dxa"/>
              <w:left w:w="150" w:type="dxa"/>
              <w:bottom w:w="150" w:type="dxa"/>
              <w:right w:w="150" w:type="dxa"/>
            </w:tcMar>
            <w:hideMark/>
          </w:tcPr>
          <w:p w14:paraId="15E5D95C" w14:textId="5A6D119B" w:rsidR="00517356" w:rsidRPr="000939A0" w:rsidRDefault="00517356" w:rsidP="00646E37">
            <w:pPr>
              <w:spacing w:after="0" w:line="240" w:lineRule="auto"/>
              <w:jc w:val="both"/>
              <w:rPr>
                <w:rFonts w:ascii="Cambria" w:hAnsi="Cambria" w:cstheme="minorHAnsi"/>
              </w:rPr>
            </w:pPr>
            <w:r w:rsidRPr="000939A0">
              <w:rPr>
                <w:rFonts w:ascii="Cambria" w:hAnsi="Cambria" w:cstheme="minorHAnsi"/>
              </w:rPr>
              <w:t> </w:t>
            </w:r>
            <w:r w:rsidR="004C7515" w:rsidRPr="000939A0">
              <w:rPr>
                <w:rFonts w:ascii="Cambria" w:hAnsi="Cambria" w:cstheme="minorHAnsi"/>
              </w:rPr>
              <w:t>.000%</w:t>
            </w:r>
          </w:p>
        </w:tc>
        <w:tc>
          <w:tcPr>
            <w:tcW w:w="1537" w:type="dxa"/>
            <w:tcBorders>
              <w:top w:val="single" w:sz="6" w:space="0" w:color="AAAAAA"/>
              <w:left w:val="single" w:sz="6" w:space="0" w:color="AAAAAA"/>
              <w:bottom w:val="single" w:sz="6" w:space="0" w:color="AAAAAA"/>
              <w:right w:val="single" w:sz="6" w:space="0" w:color="AAAAAA"/>
            </w:tcBorders>
            <w:tcMar>
              <w:top w:w="150" w:type="dxa"/>
              <w:left w:w="150" w:type="dxa"/>
              <w:bottom w:w="150" w:type="dxa"/>
              <w:right w:w="150" w:type="dxa"/>
            </w:tcMar>
            <w:hideMark/>
          </w:tcPr>
          <w:p w14:paraId="2DD06096" w14:textId="0BFA3A75" w:rsidR="00517356" w:rsidRPr="000939A0" w:rsidRDefault="00517356" w:rsidP="00646E37">
            <w:pPr>
              <w:spacing w:after="0" w:line="240" w:lineRule="auto"/>
              <w:jc w:val="both"/>
              <w:rPr>
                <w:rFonts w:ascii="Cambria" w:hAnsi="Cambria" w:cstheme="minorHAnsi"/>
              </w:rPr>
            </w:pPr>
            <w:r w:rsidRPr="000939A0">
              <w:rPr>
                <w:rFonts w:ascii="Cambria" w:hAnsi="Cambria" w:cstheme="minorHAnsi"/>
              </w:rPr>
              <w:t> </w:t>
            </w:r>
            <w:r w:rsidR="004C7515" w:rsidRPr="000939A0">
              <w:rPr>
                <w:rFonts w:ascii="Cambria" w:hAnsi="Cambria" w:cstheme="minorHAnsi"/>
              </w:rPr>
              <w:t>$</w:t>
            </w:r>
            <w:r w:rsidR="000939A0" w:rsidRPr="000939A0">
              <w:rPr>
                <w:rFonts w:ascii="Cambria" w:hAnsi="Cambria" w:cstheme="minorHAnsi"/>
              </w:rPr>
              <w:t>0</w:t>
            </w:r>
          </w:p>
        </w:tc>
      </w:tr>
      <w:tr w:rsidR="00517356" w:rsidRPr="00517356" w14:paraId="781705FA" w14:textId="77777777" w:rsidTr="0062187C">
        <w:tc>
          <w:tcPr>
            <w:tcW w:w="1342" w:type="dxa"/>
            <w:tcBorders>
              <w:top w:val="single" w:sz="6" w:space="0" w:color="AAAAAA"/>
              <w:left w:val="single" w:sz="6" w:space="0" w:color="AAAAAA"/>
              <w:bottom w:val="single" w:sz="6" w:space="0" w:color="AAAAAA"/>
              <w:right w:val="single" w:sz="6" w:space="0" w:color="AAAAAA"/>
            </w:tcBorders>
            <w:tcMar>
              <w:top w:w="150" w:type="dxa"/>
              <w:left w:w="150" w:type="dxa"/>
              <w:bottom w:w="150" w:type="dxa"/>
              <w:right w:w="150" w:type="dxa"/>
            </w:tcMar>
            <w:hideMark/>
          </w:tcPr>
          <w:p w14:paraId="215EBB08" w14:textId="77777777" w:rsidR="00517356" w:rsidRPr="000939A0" w:rsidRDefault="00517356" w:rsidP="00646E37">
            <w:pPr>
              <w:spacing w:after="0" w:line="240" w:lineRule="auto"/>
              <w:jc w:val="both"/>
              <w:rPr>
                <w:rFonts w:ascii="Cambria" w:hAnsi="Cambria" w:cstheme="minorHAnsi"/>
              </w:rPr>
            </w:pPr>
            <w:r w:rsidRPr="000939A0">
              <w:rPr>
                <w:rFonts w:ascii="Cambria" w:hAnsi="Cambria" w:cstheme="minorHAnsi"/>
              </w:rPr>
              <w:t>LEOFF 2</w:t>
            </w:r>
          </w:p>
        </w:tc>
        <w:tc>
          <w:tcPr>
            <w:tcW w:w="2348" w:type="dxa"/>
            <w:tcBorders>
              <w:top w:val="single" w:sz="6" w:space="0" w:color="AAAAAA"/>
              <w:left w:val="single" w:sz="6" w:space="0" w:color="AAAAAA"/>
              <w:bottom w:val="single" w:sz="6" w:space="0" w:color="AAAAAA"/>
              <w:right w:val="single" w:sz="6" w:space="0" w:color="AAAAAA"/>
            </w:tcBorders>
            <w:tcMar>
              <w:top w:w="150" w:type="dxa"/>
              <w:left w:w="150" w:type="dxa"/>
              <w:bottom w:w="150" w:type="dxa"/>
              <w:right w:w="150" w:type="dxa"/>
            </w:tcMar>
            <w:hideMark/>
          </w:tcPr>
          <w:p w14:paraId="4A39ECD6" w14:textId="6C727C3F" w:rsidR="00517356" w:rsidRPr="000939A0" w:rsidRDefault="00517356" w:rsidP="00646E37">
            <w:pPr>
              <w:spacing w:after="0" w:line="240" w:lineRule="auto"/>
              <w:jc w:val="both"/>
              <w:rPr>
                <w:rFonts w:ascii="Cambria" w:hAnsi="Cambria" w:cstheme="minorHAnsi"/>
              </w:rPr>
            </w:pPr>
            <w:r w:rsidRPr="000939A0">
              <w:rPr>
                <w:rFonts w:ascii="Cambria" w:hAnsi="Cambria" w:cstheme="minorHAnsi"/>
              </w:rPr>
              <w:t> </w:t>
            </w:r>
            <w:r w:rsidR="00061C56" w:rsidRPr="000939A0">
              <w:rPr>
                <w:rFonts w:ascii="Cambria" w:hAnsi="Cambria" w:cstheme="minorHAnsi"/>
              </w:rPr>
              <w:t>$</w:t>
            </w:r>
            <w:r w:rsidR="00C60417">
              <w:rPr>
                <w:rFonts w:ascii="Cambria" w:hAnsi="Cambria" w:cstheme="minorHAnsi"/>
              </w:rPr>
              <w:t>21,502.06</w:t>
            </w:r>
          </w:p>
        </w:tc>
        <w:tc>
          <w:tcPr>
            <w:tcW w:w="1702" w:type="dxa"/>
            <w:tcBorders>
              <w:top w:val="single" w:sz="6" w:space="0" w:color="AAAAAA"/>
              <w:left w:val="single" w:sz="6" w:space="0" w:color="AAAAAA"/>
              <w:bottom w:val="single" w:sz="6" w:space="0" w:color="AAAAAA"/>
              <w:right w:val="single" w:sz="6" w:space="0" w:color="AAAAAA"/>
            </w:tcBorders>
            <w:tcMar>
              <w:top w:w="150" w:type="dxa"/>
              <w:left w:w="150" w:type="dxa"/>
              <w:bottom w:w="150" w:type="dxa"/>
              <w:right w:w="150" w:type="dxa"/>
            </w:tcMar>
            <w:hideMark/>
          </w:tcPr>
          <w:p w14:paraId="2B3F99CC" w14:textId="61181CE7" w:rsidR="00517356" w:rsidRPr="000939A0" w:rsidRDefault="00517356" w:rsidP="00646E37">
            <w:pPr>
              <w:spacing w:after="0" w:line="240" w:lineRule="auto"/>
              <w:jc w:val="both"/>
              <w:rPr>
                <w:rFonts w:ascii="Cambria" w:hAnsi="Cambria" w:cstheme="minorHAnsi"/>
              </w:rPr>
            </w:pPr>
            <w:r w:rsidRPr="000939A0">
              <w:rPr>
                <w:rFonts w:ascii="Cambria" w:hAnsi="Cambria" w:cstheme="minorHAnsi"/>
              </w:rPr>
              <w:t> </w:t>
            </w:r>
            <w:r w:rsidR="004C7515" w:rsidRPr="000939A0">
              <w:rPr>
                <w:rFonts w:ascii="Cambria" w:hAnsi="Cambria" w:cstheme="minorHAnsi"/>
              </w:rPr>
              <w:t>.00</w:t>
            </w:r>
            <w:r w:rsidR="00C60417">
              <w:rPr>
                <w:rFonts w:ascii="Cambria" w:hAnsi="Cambria" w:cstheme="minorHAnsi"/>
              </w:rPr>
              <w:t>8766</w:t>
            </w:r>
            <w:r w:rsidR="004C7515" w:rsidRPr="000939A0">
              <w:rPr>
                <w:rFonts w:ascii="Cambria" w:hAnsi="Cambria" w:cstheme="minorHAnsi"/>
              </w:rPr>
              <w:t>%</w:t>
            </w:r>
          </w:p>
        </w:tc>
        <w:tc>
          <w:tcPr>
            <w:tcW w:w="1537" w:type="dxa"/>
            <w:tcBorders>
              <w:top w:val="single" w:sz="6" w:space="0" w:color="AAAAAA"/>
              <w:left w:val="single" w:sz="6" w:space="0" w:color="AAAAAA"/>
              <w:bottom w:val="single" w:sz="6" w:space="0" w:color="AAAAAA"/>
              <w:right w:val="single" w:sz="6" w:space="0" w:color="AAAAAA"/>
            </w:tcBorders>
            <w:tcMar>
              <w:top w:w="150" w:type="dxa"/>
              <w:left w:w="150" w:type="dxa"/>
              <w:bottom w:w="150" w:type="dxa"/>
              <w:right w:w="150" w:type="dxa"/>
            </w:tcMar>
            <w:hideMark/>
          </w:tcPr>
          <w:p w14:paraId="41FBE899" w14:textId="012DE020" w:rsidR="00517356" w:rsidRPr="000939A0" w:rsidRDefault="00517356" w:rsidP="00646E37">
            <w:pPr>
              <w:spacing w:after="0" w:line="240" w:lineRule="auto"/>
              <w:jc w:val="both"/>
              <w:rPr>
                <w:rFonts w:ascii="Cambria" w:hAnsi="Cambria" w:cstheme="minorHAnsi"/>
              </w:rPr>
            </w:pPr>
            <w:r w:rsidRPr="000939A0">
              <w:rPr>
                <w:rFonts w:ascii="Cambria" w:hAnsi="Cambria" w:cstheme="minorHAnsi"/>
              </w:rPr>
              <w:t> </w:t>
            </w:r>
            <w:r w:rsidR="004C7515" w:rsidRPr="000939A0">
              <w:rPr>
                <w:rFonts w:ascii="Cambria" w:hAnsi="Cambria" w:cstheme="minorHAnsi"/>
              </w:rPr>
              <w:t>$(</w:t>
            </w:r>
            <w:r w:rsidR="009557C7" w:rsidRPr="000939A0">
              <w:rPr>
                <w:rFonts w:ascii="Cambria" w:hAnsi="Cambria" w:cstheme="minorHAnsi"/>
              </w:rPr>
              <w:t>1</w:t>
            </w:r>
            <w:r w:rsidR="00C60417">
              <w:rPr>
                <w:rFonts w:ascii="Cambria" w:hAnsi="Cambria" w:cstheme="minorHAnsi"/>
              </w:rPr>
              <w:t>64,352</w:t>
            </w:r>
            <w:r w:rsidR="004C7515" w:rsidRPr="000939A0">
              <w:rPr>
                <w:rFonts w:ascii="Cambria" w:hAnsi="Cambria" w:cstheme="minorHAnsi"/>
              </w:rPr>
              <w:t>)</w:t>
            </w:r>
          </w:p>
        </w:tc>
      </w:tr>
    </w:tbl>
    <w:p w14:paraId="54864D9B" w14:textId="77777777" w:rsidR="004C7515" w:rsidRDefault="004C7515" w:rsidP="00646E37">
      <w:pPr>
        <w:spacing w:after="0" w:line="240" w:lineRule="auto"/>
        <w:jc w:val="both"/>
      </w:pPr>
    </w:p>
    <w:p w14:paraId="6C6B1F8E" w14:textId="77777777" w:rsidR="00464D6A" w:rsidRDefault="00464D6A" w:rsidP="00646E37">
      <w:pPr>
        <w:spacing w:after="0" w:line="240" w:lineRule="auto"/>
        <w:jc w:val="both"/>
      </w:pPr>
    </w:p>
    <w:p w14:paraId="598D4C0C" w14:textId="458A35ED" w:rsidR="00517356" w:rsidRPr="00AB0AC3" w:rsidRDefault="00517356" w:rsidP="00646E37">
      <w:pPr>
        <w:spacing w:after="0" w:line="240" w:lineRule="auto"/>
        <w:jc w:val="both"/>
        <w:rPr>
          <w:rFonts w:ascii="Cambria" w:hAnsi="Cambria" w:cstheme="minorHAnsi"/>
          <w:u w:val="single"/>
        </w:rPr>
      </w:pPr>
      <w:r w:rsidRPr="00AB0AC3">
        <w:rPr>
          <w:rFonts w:ascii="Cambria" w:hAnsi="Cambria" w:cstheme="minorHAnsi"/>
          <w:u w:val="single"/>
        </w:rPr>
        <w:t>LEOFF Plan 1</w:t>
      </w:r>
    </w:p>
    <w:p w14:paraId="33852A0B" w14:textId="77777777" w:rsidR="00A44C14" w:rsidRDefault="00A44C14" w:rsidP="00646E37">
      <w:pPr>
        <w:spacing w:after="0" w:line="240" w:lineRule="auto"/>
        <w:jc w:val="both"/>
        <w:rPr>
          <w:rFonts w:ascii="Cambria" w:hAnsi="Cambria" w:cstheme="minorHAnsi"/>
        </w:rPr>
      </w:pPr>
    </w:p>
    <w:p w14:paraId="1CAB55AF" w14:textId="4ABEBD55" w:rsidR="00517356" w:rsidRDefault="00517356" w:rsidP="00646E37">
      <w:pPr>
        <w:spacing w:after="0" w:line="240" w:lineRule="auto"/>
        <w:jc w:val="both"/>
        <w:rPr>
          <w:rFonts w:ascii="Cambria" w:hAnsi="Cambria" w:cstheme="minorHAnsi"/>
        </w:rPr>
      </w:pPr>
      <w:r w:rsidRPr="00517356">
        <w:rPr>
          <w:rFonts w:ascii="Cambria" w:hAnsi="Cambria" w:cstheme="minorHAnsi"/>
        </w:rPr>
        <w:t xml:space="preserve">The </w:t>
      </w:r>
      <w:r w:rsidR="00A44C14">
        <w:rPr>
          <w:rFonts w:ascii="Cambria" w:hAnsi="Cambria" w:cstheme="minorHAnsi"/>
        </w:rPr>
        <w:t>C</w:t>
      </w:r>
      <w:r w:rsidR="004C7515">
        <w:rPr>
          <w:rFonts w:ascii="Cambria" w:hAnsi="Cambria" w:cstheme="minorHAnsi"/>
        </w:rPr>
        <w:t>ity</w:t>
      </w:r>
      <w:r w:rsidR="00A44C14">
        <w:rPr>
          <w:rFonts w:ascii="Cambria" w:hAnsi="Cambria" w:cstheme="minorHAnsi"/>
        </w:rPr>
        <w:t xml:space="preserve"> of Napavine</w:t>
      </w:r>
      <w:r w:rsidRPr="00517356">
        <w:rPr>
          <w:rFonts w:ascii="Cambria" w:hAnsi="Cambria" w:cstheme="minorHAnsi"/>
        </w:rPr>
        <w:t xml:space="preserve"> also participates in LEOFF Plan 1. The LEOFF Plan 1 is fully </w:t>
      </w:r>
      <w:r w:rsidR="00E96F92" w:rsidRPr="00517356">
        <w:rPr>
          <w:rFonts w:ascii="Cambria" w:hAnsi="Cambria" w:cstheme="minorHAnsi"/>
        </w:rPr>
        <w:t>funded,</w:t>
      </w:r>
      <w:r w:rsidRPr="00517356">
        <w:rPr>
          <w:rFonts w:ascii="Cambria" w:hAnsi="Cambria" w:cstheme="minorHAnsi"/>
        </w:rPr>
        <w:t xml:space="preserve"> and no further employer contributions have been required since June 2000. If the plan becomes underfunded, funding of the remaining liability will require new legislation. Starting on July 1, 2000, employers and employees contribute zero percent.</w:t>
      </w:r>
    </w:p>
    <w:p w14:paraId="7A709206" w14:textId="77777777" w:rsidR="00076E9E" w:rsidRPr="00517356" w:rsidRDefault="00076E9E" w:rsidP="00646E37">
      <w:pPr>
        <w:spacing w:after="0" w:line="240" w:lineRule="auto"/>
        <w:jc w:val="both"/>
        <w:rPr>
          <w:rFonts w:ascii="Cambria" w:hAnsi="Cambria" w:cstheme="minorHAnsi"/>
        </w:rPr>
      </w:pPr>
    </w:p>
    <w:p w14:paraId="7402CE92" w14:textId="16AAAC09" w:rsidR="00517356" w:rsidRPr="00AB0AC3" w:rsidRDefault="00517356" w:rsidP="00646E37">
      <w:pPr>
        <w:spacing w:after="0" w:line="240" w:lineRule="auto"/>
        <w:jc w:val="both"/>
        <w:rPr>
          <w:rFonts w:ascii="Cambria" w:hAnsi="Cambria" w:cstheme="minorHAnsi"/>
          <w:u w:val="single"/>
        </w:rPr>
      </w:pPr>
      <w:r w:rsidRPr="00AB0AC3">
        <w:rPr>
          <w:rFonts w:ascii="Cambria" w:hAnsi="Cambria" w:cstheme="minorHAnsi"/>
          <w:u w:val="single"/>
        </w:rPr>
        <w:t>LEOFF Plan 2</w:t>
      </w:r>
    </w:p>
    <w:p w14:paraId="2C96860D" w14:textId="77777777" w:rsidR="00A44C14" w:rsidRPr="00517356" w:rsidRDefault="00A44C14" w:rsidP="00646E37">
      <w:pPr>
        <w:spacing w:after="0" w:line="240" w:lineRule="auto"/>
        <w:jc w:val="both"/>
        <w:rPr>
          <w:rFonts w:ascii="Cambria" w:hAnsi="Cambria" w:cstheme="minorHAnsi"/>
        </w:rPr>
      </w:pPr>
    </w:p>
    <w:p w14:paraId="2ABBB97E" w14:textId="6402E424" w:rsidR="00517356" w:rsidRDefault="00517356" w:rsidP="00646E37">
      <w:pPr>
        <w:spacing w:after="0" w:line="240" w:lineRule="auto"/>
        <w:jc w:val="both"/>
        <w:rPr>
          <w:rFonts w:ascii="Cambria" w:hAnsi="Cambria" w:cstheme="minorHAnsi"/>
        </w:rPr>
      </w:pPr>
      <w:r w:rsidRPr="00517356">
        <w:rPr>
          <w:rFonts w:ascii="Cambria" w:hAnsi="Cambria" w:cstheme="minorHAnsi"/>
        </w:rPr>
        <w:t xml:space="preserve">The </w:t>
      </w:r>
      <w:r w:rsidR="00A44C14">
        <w:rPr>
          <w:rFonts w:ascii="Cambria" w:hAnsi="Cambria" w:cstheme="minorHAnsi"/>
        </w:rPr>
        <w:t>City of Napavine</w:t>
      </w:r>
      <w:r w:rsidRPr="00517356">
        <w:rPr>
          <w:rFonts w:ascii="Cambria" w:hAnsi="Cambria" w:cstheme="minorHAnsi"/>
        </w:rPr>
        <w:t xml:space="preserve"> also participates in the LEOFF Plan 2. The Legislature, by means of a special funding arrangement, appropriates money from the state general fund to supplement the current service liability and fund the prior service costs of Plan 2 in accordance with the recommendations of the Pension Funding Council and the LEOFF Plan 2 Retirement Board. This special funding situation is not mandated by the state constitution and could be changed by statute.</w:t>
      </w:r>
    </w:p>
    <w:p w14:paraId="2953A9FA" w14:textId="77777777" w:rsidR="00076E9E" w:rsidRPr="00517356" w:rsidRDefault="00076E9E" w:rsidP="00646E37">
      <w:pPr>
        <w:spacing w:after="0" w:line="240" w:lineRule="auto"/>
        <w:jc w:val="both"/>
        <w:rPr>
          <w:rFonts w:ascii="Cambria" w:hAnsi="Cambria" w:cstheme="minorHAnsi"/>
        </w:rPr>
      </w:pPr>
    </w:p>
    <w:p w14:paraId="6333FFEE" w14:textId="7EEB694F" w:rsidR="00113C76" w:rsidRDefault="00E011D4" w:rsidP="00646E37">
      <w:pPr>
        <w:spacing w:after="0" w:line="240" w:lineRule="auto"/>
        <w:jc w:val="both"/>
        <w:rPr>
          <w:rFonts w:ascii="Cambria" w:hAnsi="Cambria" w:cstheme="minorHAnsi"/>
          <w:u w:val="single"/>
        </w:rPr>
      </w:pPr>
      <w:r>
        <w:rPr>
          <w:rFonts w:ascii="Cambria" w:hAnsi="Cambria" w:cstheme="minorHAnsi"/>
        </w:rPr>
        <w:lastRenderedPageBreak/>
        <w:t>B</w:t>
      </w:r>
      <w:r w:rsidR="00517356" w:rsidRPr="00000ADF">
        <w:rPr>
          <w:rFonts w:ascii="Cambria" w:hAnsi="Cambria" w:cstheme="minorHAnsi"/>
        </w:rPr>
        <w:t xml:space="preserve">. </w:t>
      </w:r>
      <w:r w:rsidR="00517356" w:rsidRPr="00000ADF">
        <w:rPr>
          <w:rFonts w:ascii="Cambria" w:hAnsi="Cambria" w:cstheme="minorHAnsi"/>
          <w:u w:val="single"/>
        </w:rPr>
        <w:t>Defined Contribution Pension Plans</w:t>
      </w:r>
    </w:p>
    <w:p w14:paraId="136DA000" w14:textId="77777777" w:rsidR="00C45DD8" w:rsidRDefault="00C45DD8" w:rsidP="00646E37">
      <w:pPr>
        <w:spacing w:after="0" w:line="240" w:lineRule="auto"/>
        <w:jc w:val="both"/>
        <w:rPr>
          <w:rFonts w:ascii="Cambria" w:hAnsi="Cambria" w:cstheme="minorHAnsi"/>
        </w:rPr>
      </w:pPr>
    </w:p>
    <w:p w14:paraId="2D1514D8" w14:textId="452C330E" w:rsidR="00517356" w:rsidRPr="00517356" w:rsidRDefault="00113C76" w:rsidP="00646E37">
      <w:pPr>
        <w:spacing w:after="0" w:line="240" w:lineRule="auto"/>
        <w:jc w:val="both"/>
        <w:rPr>
          <w:rFonts w:ascii="Cambria" w:hAnsi="Cambria" w:cstheme="minorHAnsi"/>
        </w:rPr>
      </w:pPr>
      <w:r>
        <w:rPr>
          <w:rFonts w:ascii="Cambria" w:hAnsi="Cambria" w:cstheme="minorHAnsi"/>
        </w:rPr>
        <w:t xml:space="preserve">The city of Napavine </w:t>
      </w:r>
      <w:proofErr w:type="gramStart"/>
      <w:r>
        <w:rPr>
          <w:rFonts w:ascii="Cambria" w:hAnsi="Cambria" w:cstheme="minorHAnsi"/>
        </w:rPr>
        <w:t>offers to</w:t>
      </w:r>
      <w:proofErr w:type="gramEnd"/>
      <w:r>
        <w:rPr>
          <w:rFonts w:ascii="Cambria" w:hAnsi="Cambria" w:cstheme="minorHAnsi"/>
        </w:rPr>
        <w:t xml:space="preserve"> its employees an additional retirement plan, a </w:t>
      </w:r>
      <w:r w:rsidR="00E011D4">
        <w:rPr>
          <w:rFonts w:ascii="Cambria" w:hAnsi="Cambria" w:cstheme="minorHAnsi"/>
        </w:rPr>
        <w:t xml:space="preserve">Deferred Compensation 457B </w:t>
      </w:r>
      <w:r>
        <w:rPr>
          <w:rFonts w:ascii="Cambria" w:hAnsi="Cambria" w:cstheme="minorHAnsi"/>
        </w:rPr>
        <w:t>plan</w:t>
      </w:r>
      <w:r w:rsidR="00E908F2">
        <w:rPr>
          <w:rFonts w:ascii="Cambria" w:hAnsi="Cambria" w:cstheme="minorHAnsi"/>
        </w:rPr>
        <w:t>, which is an optional participation plan</w:t>
      </w:r>
      <w:r>
        <w:rPr>
          <w:rFonts w:ascii="Cambria" w:hAnsi="Cambria" w:cstheme="minorHAnsi"/>
        </w:rPr>
        <w:t xml:space="preserve">. </w:t>
      </w:r>
      <w:r w:rsidR="00E908F2">
        <w:rPr>
          <w:rFonts w:ascii="Cambria" w:hAnsi="Cambria" w:cstheme="minorHAnsi"/>
        </w:rPr>
        <w:t xml:space="preserve">The employee can contribute any amount they wish as a </w:t>
      </w:r>
      <w:proofErr w:type="gramStart"/>
      <w:r w:rsidR="00E908F2">
        <w:rPr>
          <w:rFonts w:ascii="Cambria" w:hAnsi="Cambria" w:cstheme="minorHAnsi"/>
        </w:rPr>
        <w:t>deduction</w:t>
      </w:r>
      <w:proofErr w:type="gramEnd"/>
      <w:r w:rsidR="00E908F2">
        <w:rPr>
          <w:rFonts w:ascii="Cambria" w:hAnsi="Cambria" w:cstheme="minorHAnsi"/>
        </w:rPr>
        <w:t xml:space="preserve"> from the</w:t>
      </w:r>
      <w:r w:rsidR="003327A9">
        <w:rPr>
          <w:rFonts w:ascii="Cambria" w:hAnsi="Cambria" w:cstheme="minorHAnsi"/>
        </w:rPr>
        <w:t>ir</w:t>
      </w:r>
      <w:r w:rsidR="00E908F2">
        <w:rPr>
          <w:rFonts w:ascii="Cambria" w:hAnsi="Cambria" w:cstheme="minorHAnsi"/>
        </w:rPr>
        <w:t xml:space="preserve"> wages. </w:t>
      </w:r>
      <w:r>
        <w:rPr>
          <w:rFonts w:ascii="Cambria" w:hAnsi="Cambria" w:cstheme="minorHAnsi"/>
        </w:rPr>
        <w:t xml:space="preserve">The plan administrator is </w:t>
      </w:r>
      <w:r w:rsidR="00E011D4">
        <w:rPr>
          <w:rFonts w:ascii="Cambria" w:hAnsi="Cambria" w:cstheme="minorHAnsi"/>
        </w:rPr>
        <w:t xml:space="preserve">Nationwide </w:t>
      </w:r>
      <w:r w:rsidR="00E7342D">
        <w:rPr>
          <w:rFonts w:ascii="Cambria" w:hAnsi="Cambria" w:cstheme="minorHAnsi"/>
        </w:rPr>
        <w:t xml:space="preserve">Retirement Solutions </w:t>
      </w:r>
      <w:r w:rsidR="00E011D4">
        <w:rPr>
          <w:rFonts w:ascii="Cambria" w:hAnsi="Cambria" w:cstheme="minorHAnsi"/>
        </w:rPr>
        <w:t xml:space="preserve">as </w:t>
      </w:r>
      <w:r w:rsidR="00E908F2">
        <w:rPr>
          <w:rFonts w:ascii="Cambria" w:hAnsi="Cambria" w:cstheme="minorHAnsi"/>
        </w:rPr>
        <w:t xml:space="preserve">a </w:t>
      </w:r>
      <w:r w:rsidR="00112AA2" w:rsidRPr="00517356">
        <w:rPr>
          <w:rFonts w:ascii="Cambria" w:hAnsi="Cambria" w:cstheme="minorHAnsi"/>
        </w:rPr>
        <w:t xml:space="preserve">defined contribution </w:t>
      </w:r>
      <w:r w:rsidR="00E011D4">
        <w:rPr>
          <w:rFonts w:ascii="Cambria" w:hAnsi="Cambria" w:cstheme="minorHAnsi"/>
        </w:rPr>
        <w:t>plan</w:t>
      </w:r>
      <w:r w:rsidR="00112AA2">
        <w:rPr>
          <w:rFonts w:ascii="Cambria" w:hAnsi="Cambria" w:cstheme="minorHAnsi"/>
        </w:rPr>
        <w:t>.</w:t>
      </w:r>
      <w:r w:rsidR="00E011D4">
        <w:rPr>
          <w:rFonts w:ascii="Cambria" w:hAnsi="Cambria" w:cstheme="minorHAnsi"/>
        </w:rPr>
        <w:t xml:space="preserve"> </w:t>
      </w:r>
      <w:r w:rsidR="00B76389">
        <w:rPr>
          <w:rFonts w:ascii="Cambria" w:hAnsi="Cambria" w:cstheme="minorHAnsi"/>
        </w:rPr>
        <w:t>The employer contribution rate is 50% of the employee contribution amount with a maximum amount of $300 per month</w:t>
      </w:r>
      <w:r w:rsidR="00464D6A">
        <w:rPr>
          <w:rFonts w:ascii="Cambria" w:hAnsi="Cambria" w:cstheme="minorHAnsi"/>
        </w:rPr>
        <w:t xml:space="preserve"> for union employees</w:t>
      </w:r>
      <w:r w:rsidR="00B76389">
        <w:rPr>
          <w:rFonts w:ascii="Cambria" w:hAnsi="Cambria" w:cstheme="minorHAnsi"/>
        </w:rPr>
        <w:t xml:space="preserve">. </w:t>
      </w:r>
      <w:proofErr w:type="spellStart"/>
      <w:proofErr w:type="gramStart"/>
      <w:r w:rsidR="00464D6A">
        <w:rPr>
          <w:rFonts w:ascii="Cambria" w:hAnsi="Cambria" w:cstheme="minorHAnsi"/>
        </w:rPr>
        <w:t>Non union</w:t>
      </w:r>
      <w:proofErr w:type="spellEnd"/>
      <w:proofErr w:type="gramEnd"/>
      <w:r w:rsidR="00464D6A">
        <w:rPr>
          <w:rFonts w:ascii="Cambria" w:hAnsi="Cambria" w:cstheme="minorHAnsi"/>
        </w:rPr>
        <w:t xml:space="preserve"> employees received a contribution equal to the additional benefits the union employees received for medical care. </w:t>
      </w:r>
      <w:r w:rsidR="00E908F2">
        <w:rPr>
          <w:rFonts w:ascii="Cambria" w:hAnsi="Cambria" w:cstheme="minorHAnsi"/>
        </w:rPr>
        <w:t xml:space="preserve">There were </w:t>
      </w:r>
      <w:r w:rsidR="00000ADF">
        <w:rPr>
          <w:rFonts w:ascii="Cambria" w:hAnsi="Cambria" w:cstheme="minorHAnsi"/>
        </w:rPr>
        <w:t>fifteen</w:t>
      </w:r>
      <w:r w:rsidR="00E908F2">
        <w:rPr>
          <w:rFonts w:ascii="Cambria" w:hAnsi="Cambria" w:cstheme="minorHAnsi"/>
        </w:rPr>
        <w:t xml:space="preserve"> (</w:t>
      </w:r>
      <w:r w:rsidR="00000ADF">
        <w:rPr>
          <w:rFonts w:ascii="Cambria" w:hAnsi="Cambria" w:cstheme="minorHAnsi"/>
        </w:rPr>
        <w:t>15</w:t>
      </w:r>
      <w:r w:rsidR="00E908F2">
        <w:rPr>
          <w:rFonts w:ascii="Cambria" w:hAnsi="Cambria" w:cstheme="minorHAnsi"/>
        </w:rPr>
        <w:t>) employees participating in the deferred compensation program as of December 31, 202</w:t>
      </w:r>
      <w:r w:rsidR="00464D6A">
        <w:rPr>
          <w:rFonts w:ascii="Cambria" w:hAnsi="Cambria" w:cstheme="minorHAnsi"/>
        </w:rPr>
        <w:t>4</w:t>
      </w:r>
      <w:r w:rsidR="003327A9">
        <w:rPr>
          <w:rFonts w:ascii="Cambria" w:hAnsi="Cambria" w:cstheme="minorHAnsi"/>
        </w:rPr>
        <w:t xml:space="preserve">. </w:t>
      </w:r>
      <w:r w:rsidR="00517356" w:rsidRPr="00517356">
        <w:rPr>
          <w:rFonts w:ascii="Cambria" w:hAnsi="Cambria" w:cstheme="minorHAnsi"/>
        </w:rPr>
        <w:t xml:space="preserve">The dollar amount the employer contributed </w:t>
      </w:r>
      <w:r w:rsidR="003327A9">
        <w:rPr>
          <w:rFonts w:ascii="Cambria" w:hAnsi="Cambria" w:cstheme="minorHAnsi"/>
        </w:rPr>
        <w:t>during</w:t>
      </w:r>
      <w:r w:rsidR="00517356" w:rsidRPr="00517356">
        <w:rPr>
          <w:rFonts w:ascii="Cambria" w:hAnsi="Cambria" w:cstheme="minorHAnsi"/>
        </w:rPr>
        <w:t xml:space="preserve"> the reporting period</w:t>
      </w:r>
      <w:r w:rsidR="00B76389">
        <w:rPr>
          <w:rFonts w:ascii="Cambria" w:hAnsi="Cambria" w:cstheme="minorHAnsi"/>
        </w:rPr>
        <w:t xml:space="preserve"> was $</w:t>
      </w:r>
      <w:r w:rsidR="00464D6A">
        <w:rPr>
          <w:rFonts w:ascii="Cambria" w:hAnsi="Cambria" w:cstheme="minorHAnsi"/>
        </w:rPr>
        <w:t>57,070.28</w:t>
      </w:r>
      <w:r w:rsidR="00517356" w:rsidRPr="00517356">
        <w:rPr>
          <w:rFonts w:ascii="Cambria" w:hAnsi="Cambria" w:cstheme="minorHAnsi"/>
        </w:rPr>
        <w:t>.</w:t>
      </w:r>
    </w:p>
    <w:p w14:paraId="7B5CE1C3" w14:textId="77777777" w:rsidR="007E17FD" w:rsidRDefault="007E17FD" w:rsidP="00646E37">
      <w:pPr>
        <w:spacing w:after="0" w:line="240" w:lineRule="auto"/>
        <w:jc w:val="both"/>
        <w:rPr>
          <w:rFonts w:ascii="Cambria" w:hAnsi="Cambria" w:cstheme="minorHAnsi"/>
          <w:b/>
          <w:bCs/>
        </w:rPr>
      </w:pPr>
    </w:p>
    <w:p w14:paraId="425E5661" w14:textId="235CC3DE" w:rsidR="00517356" w:rsidRPr="00517356" w:rsidRDefault="00517356" w:rsidP="00646E37">
      <w:pPr>
        <w:spacing w:after="0" w:line="240" w:lineRule="auto"/>
        <w:jc w:val="both"/>
        <w:rPr>
          <w:rFonts w:ascii="Cambria" w:hAnsi="Cambria" w:cstheme="minorHAnsi"/>
        </w:rPr>
      </w:pPr>
      <w:r w:rsidRPr="00E73065">
        <w:rPr>
          <w:rFonts w:ascii="Cambria" w:hAnsi="Cambria" w:cstheme="minorHAnsi"/>
          <w:b/>
          <w:bCs/>
        </w:rPr>
        <w:t xml:space="preserve">Note </w:t>
      </w:r>
      <w:r w:rsidR="001E0E88" w:rsidRPr="00E73065">
        <w:rPr>
          <w:rFonts w:ascii="Cambria" w:hAnsi="Cambria" w:cstheme="minorHAnsi"/>
          <w:b/>
          <w:bCs/>
        </w:rPr>
        <w:t>8</w:t>
      </w:r>
      <w:r w:rsidRPr="00E73065">
        <w:rPr>
          <w:rFonts w:ascii="Cambria" w:hAnsi="Cambria" w:cstheme="minorHAnsi"/>
          <w:b/>
          <w:bCs/>
        </w:rPr>
        <w:t xml:space="preserve"> – Property Tax</w:t>
      </w:r>
    </w:p>
    <w:p w14:paraId="3824A0C7" w14:textId="47E180DC" w:rsidR="00517356" w:rsidRDefault="00517356" w:rsidP="00646E37">
      <w:pPr>
        <w:spacing w:after="0" w:line="240" w:lineRule="auto"/>
        <w:jc w:val="both"/>
        <w:rPr>
          <w:rFonts w:ascii="Cambria" w:hAnsi="Cambria" w:cstheme="minorHAnsi"/>
        </w:rPr>
      </w:pPr>
      <w:r w:rsidRPr="00517356">
        <w:rPr>
          <w:rFonts w:ascii="Cambria" w:hAnsi="Cambria" w:cstheme="minorHAnsi"/>
        </w:rPr>
        <w:t xml:space="preserve">The county treasurer acts as an agent to collect property tax levied in the county for all taxing authorities. Collections are distributed </w:t>
      </w:r>
      <w:r w:rsidRPr="000C5857">
        <w:rPr>
          <w:rFonts w:ascii="Cambria" w:hAnsi="Cambria" w:cstheme="minorHAnsi"/>
        </w:rPr>
        <w:t>after</w:t>
      </w:r>
      <w:r w:rsidRPr="00517356">
        <w:rPr>
          <w:rFonts w:ascii="Cambria" w:hAnsi="Cambria" w:cstheme="minorHAnsi"/>
        </w:rPr>
        <w:t xml:space="preserve"> the end of each month.</w:t>
      </w:r>
    </w:p>
    <w:p w14:paraId="31194BEB" w14:textId="77777777" w:rsidR="000C5857" w:rsidRPr="00517356" w:rsidRDefault="000C5857" w:rsidP="00646E37">
      <w:pPr>
        <w:spacing w:after="0" w:line="240" w:lineRule="auto"/>
        <w:jc w:val="both"/>
        <w:rPr>
          <w:rFonts w:ascii="Cambria" w:hAnsi="Cambria" w:cstheme="minorHAnsi"/>
        </w:rPr>
      </w:pPr>
    </w:p>
    <w:p w14:paraId="7038CE74" w14:textId="27495CAF" w:rsidR="00517356" w:rsidRDefault="00517356" w:rsidP="00646E37">
      <w:pPr>
        <w:spacing w:after="0" w:line="240" w:lineRule="auto"/>
        <w:jc w:val="both"/>
        <w:rPr>
          <w:rFonts w:ascii="Cambria" w:hAnsi="Cambria" w:cstheme="minorHAnsi"/>
        </w:rPr>
      </w:pPr>
      <w:r w:rsidRPr="00517356">
        <w:rPr>
          <w:rFonts w:ascii="Cambria" w:hAnsi="Cambria" w:cstheme="minorHAnsi"/>
        </w:rPr>
        <w:t xml:space="preserve">Property tax revenues are recognized when cash is received by </w:t>
      </w:r>
      <w:r w:rsidR="000C5857">
        <w:rPr>
          <w:rFonts w:ascii="Cambria" w:hAnsi="Cambria" w:cstheme="minorHAnsi"/>
        </w:rPr>
        <w:t xml:space="preserve">the </w:t>
      </w:r>
      <w:r w:rsidRPr="000C5857">
        <w:rPr>
          <w:rFonts w:ascii="Cambria" w:hAnsi="Cambria" w:cstheme="minorHAnsi"/>
        </w:rPr>
        <w:t>city</w:t>
      </w:r>
      <w:r w:rsidRPr="00517356">
        <w:rPr>
          <w:rFonts w:ascii="Cambria" w:hAnsi="Cambria" w:cstheme="minorHAnsi"/>
        </w:rPr>
        <w:t>. Delinquent taxes are considered fully collectible because a lien affixes to the property after tax is levied.</w:t>
      </w:r>
    </w:p>
    <w:p w14:paraId="44756689" w14:textId="77777777" w:rsidR="000C5857" w:rsidRPr="00517356" w:rsidRDefault="000C5857" w:rsidP="00646E37">
      <w:pPr>
        <w:spacing w:after="0" w:line="240" w:lineRule="auto"/>
        <w:jc w:val="both"/>
        <w:rPr>
          <w:rFonts w:ascii="Cambria" w:hAnsi="Cambria" w:cstheme="minorHAnsi"/>
        </w:rPr>
      </w:pPr>
    </w:p>
    <w:p w14:paraId="4E552204" w14:textId="100EC615" w:rsidR="00517356" w:rsidRPr="00517356" w:rsidRDefault="00517356" w:rsidP="00646E37">
      <w:pPr>
        <w:spacing w:after="0" w:line="240" w:lineRule="auto"/>
        <w:jc w:val="both"/>
        <w:rPr>
          <w:rFonts w:ascii="Cambria" w:hAnsi="Cambria" w:cstheme="minorHAnsi"/>
        </w:rPr>
      </w:pPr>
      <w:r w:rsidRPr="00517356">
        <w:rPr>
          <w:rFonts w:ascii="Cambria" w:hAnsi="Cambria" w:cstheme="minorHAnsi"/>
        </w:rPr>
        <w:t xml:space="preserve">The </w:t>
      </w:r>
      <w:r w:rsidRPr="0062187C">
        <w:rPr>
          <w:rFonts w:ascii="Cambria" w:hAnsi="Cambria" w:cstheme="minorHAnsi"/>
        </w:rPr>
        <w:t>city’s</w:t>
      </w:r>
      <w:r w:rsidRPr="00517356">
        <w:rPr>
          <w:rFonts w:ascii="Cambria" w:hAnsi="Cambria" w:cstheme="minorHAnsi"/>
        </w:rPr>
        <w:t xml:space="preserve"> regular levy for the year 20</w:t>
      </w:r>
      <w:r w:rsidR="000C5857">
        <w:rPr>
          <w:rFonts w:ascii="Cambria" w:hAnsi="Cambria" w:cstheme="minorHAnsi"/>
        </w:rPr>
        <w:t>2</w:t>
      </w:r>
      <w:r w:rsidR="00464D6A">
        <w:rPr>
          <w:rFonts w:ascii="Cambria" w:hAnsi="Cambria" w:cstheme="minorHAnsi"/>
        </w:rPr>
        <w:t>4</w:t>
      </w:r>
      <w:r w:rsidRPr="00517356">
        <w:rPr>
          <w:rFonts w:ascii="Cambria" w:hAnsi="Cambria" w:cstheme="minorHAnsi"/>
        </w:rPr>
        <w:t xml:space="preserve"> was $</w:t>
      </w:r>
      <w:r w:rsidR="000C5857">
        <w:rPr>
          <w:rFonts w:ascii="Cambria" w:hAnsi="Cambria" w:cstheme="minorHAnsi"/>
        </w:rPr>
        <w:t>1.</w:t>
      </w:r>
      <w:r w:rsidR="00464D6A">
        <w:rPr>
          <w:rFonts w:ascii="Cambria" w:hAnsi="Cambria" w:cstheme="minorHAnsi"/>
        </w:rPr>
        <w:t>080775440818</w:t>
      </w:r>
      <w:r w:rsidRPr="00517356">
        <w:rPr>
          <w:rFonts w:ascii="Cambria" w:hAnsi="Cambria" w:cstheme="minorHAnsi"/>
        </w:rPr>
        <w:t xml:space="preserve"> per $1,000 on an assessed valuation of $</w:t>
      </w:r>
      <w:r w:rsidR="00E73065">
        <w:rPr>
          <w:rFonts w:ascii="Cambria" w:hAnsi="Cambria" w:cstheme="minorHAnsi"/>
        </w:rPr>
        <w:t>3</w:t>
      </w:r>
      <w:r w:rsidR="00464D6A">
        <w:rPr>
          <w:rFonts w:ascii="Cambria" w:hAnsi="Cambria" w:cstheme="minorHAnsi"/>
        </w:rPr>
        <w:t>43,111,368</w:t>
      </w:r>
      <w:r w:rsidRPr="00517356">
        <w:rPr>
          <w:rFonts w:ascii="Cambria" w:hAnsi="Cambria" w:cstheme="minorHAnsi"/>
        </w:rPr>
        <w:t xml:space="preserve"> for a total regular levy of $</w:t>
      </w:r>
      <w:r w:rsidR="00B56BB4">
        <w:rPr>
          <w:rFonts w:ascii="Cambria" w:hAnsi="Cambria" w:cstheme="minorHAnsi"/>
        </w:rPr>
        <w:t>3</w:t>
      </w:r>
      <w:r w:rsidR="00464D6A">
        <w:rPr>
          <w:rFonts w:ascii="Cambria" w:hAnsi="Cambria" w:cstheme="minorHAnsi"/>
        </w:rPr>
        <w:t>70,826</w:t>
      </w:r>
      <w:r w:rsidRPr="00517356">
        <w:rPr>
          <w:rFonts w:ascii="Cambria" w:hAnsi="Cambria" w:cstheme="minorHAnsi"/>
        </w:rPr>
        <w:t>.</w:t>
      </w:r>
    </w:p>
    <w:p w14:paraId="77CD45B4" w14:textId="77777777" w:rsidR="007E17FD" w:rsidRDefault="007E17FD" w:rsidP="00646E37">
      <w:pPr>
        <w:spacing w:after="0" w:line="240" w:lineRule="auto"/>
        <w:jc w:val="both"/>
        <w:rPr>
          <w:rFonts w:ascii="Cambria" w:hAnsi="Cambria" w:cstheme="minorHAnsi"/>
          <w:b/>
          <w:bCs/>
        </w:rPr>
      </w:pPr>
    </w:p>
    <w:p w14:paraId="6911E35E" w14:textId="2D2BFCAD" w:rsidR="007471DC" w:rsidRPr="007471DC" w:rsidRDefault="007471DC" w:rsidP="00646E37">
      <w:pPr>
        <w:spacing w:after="0" w:line="240" w:lineRule="auto"/>
        <w:jc w:val="both"/>
        <w:rPr>
          <w:rFonts w:ascii="Cambria" w:hAnsi="Cambria" w:cstheme="minorHAnsi"/>
        </w:rPr>
      </w:pPr>
      <w:r w:rsidRPr="00D94D98">
        <w:rPr>
          <w:rFonts w:ascii="Cambria" w:hAnsi="Cambria" w:cstheme="minorHAnsi"/>
          <w:b/>
          <w:bCs/>
        </w:rPr>
        <w:t xml:space="preserve">Note </w:t>
      </w:r>
      <w:r w:rsidR="001E0E88" w:rsidRPr="00D94D98">
        <w:rPr>
          <w:rFonts w:ascii="Cambria" w:hAnsi="Cambria" w:cstheme="minorHAnsi"/>
          <w:b/>
          <w:bCs/>
        </w:rPr>
        <w:t>9</w:t>
      </w:r>
      <w:r w:rsidRPr="00D94D98">
        <w:rPr>
          <w:rFonts w:ascii="Cambria" w:hAnsi="Cambria" w:cstheme="minorHAnsi"/>
          <w:b/>
          <w:bCs/>
        </w:rPr>
        <w:t xml:space="preserve"> – Risk Management</w:t>
      </w:r>
    </w:p>
    <w:p w14:paraId="7B514797" w14:textId="77777777" w:rsidR="00442B78" w:rsidRDefault="00442B78" w:rsidP="00E87F92">
      <w:pPr>
        <w:tabs>
          <w:tab w:val="left" w:pos="-1440"/>
        </w:tabs>
        <w:spacing w:after="0" w:line="276" w:lineRule="auto"/>
        <w:jc w:val="both"/>
        <w:rPr>
          <w:rFonts w:ascii="Times New Roman" w:hAnsi="Times New Roman" w:cs="Times New Roman"/>
        </w:rPr>
      </w:pPr>
    </w:p>
    <w:p w14:paraId="03DC6B6F" w14:textId="26E644F0" w:rsidR="00E87F92" w:rsidRDefault="00E87F92" w:rsidP="00E87F92">
      <w:pPr>
        <w:tabs>
          <w:tab w:val="left" w:pos="-1440"/>
        </w:tabs>
        <w:spacing w:after="0" w:line="276" w:lineRule="auto"/>
        <w:jc w:val="both"/>
        <w:rPr>
          <w:rFonts w:ascii="Times New Roman" w:hAnsi="Times New Roman" w:cs="Times New Roman"/>
        </w:rPr>
      </w:pPr>
      <w:r>
        <w:rPr>
          <w:rFonts w:ascii="Times New Roman" w:hAnsi="Times New Roman" w:cs="Times New Roman"/>
        </w:rPr>
        <w:t>City of Napavine is a member of Cities Insurance Association of Washington (CIAW). Chapter 48.62 RCW authorizes the governing body of any one or more governmental entities to form together into or join a program or organization for the joint purchasing of insurance, and/or joint self-insuring, and/or joint hiring or contracting for risk management services to the same extent that they may individually purchase insurance, self-insure, or hire or contract for risk management services. An agreement to form a pooling arrangement was made pursuant to the provisions of Chapter 39.34 RCW, the Interlocal Cooperation Act. The program was formed on September 1, 1988, when 34 cities in the state of Washington jointed together by signing an Interlocal Governmental Agreement to pool their self-insured losses and jointly purchase insurance and administrative services</w:t>
      </w:r>
      <w:r w:rsidRPr="00442B78">
        <w:rPr>
          <w:rFonts w:ascii="Times New Roman" w:hAnsi="Times New Roman" w:cs="Times New Roman"/>
        </w:rPr>
        <w:t xml:space="preserve">. As of </w:t>
      </w:r>
      <w:r w:rsidR="00442B78" w:rsidRPr="00442B78">
        <w:rPr>
          <w:rFonts w:ascii="Times New Roman" w:hAnsi="Times New Roman" w:cs="Times New Roman"/>
        </w:rPr>
        <w:t>November 30</w:t>
      </w:r>
      <w:r w:rsidRPr="00442B78">
        <w:rPr>
          <w:rFonts w:ascii="Times New Roman" w:hAnsi="Times New Roman" w:cs="Times New Roman"/>
        </w:rPr>
        <w:t>, 202</w:t>
      </w:r>
      <w:r w:rsidR="00464D6A">
        <w:rPr>
          <w:rFonts w:ascii="Times New Roman" w:hAnsi="Times New Roman" w:cs="Times New Roman"/>
        </w:rPr>
        <w:t>4</w:t>
      </w:r>
      <w:r w:rsidR="00442B78" w:rsidRPr="00442B78">
        <w:rPr>
          <w:rFonts w:ascii="Times New Roman" w:hAnsi="Times New Roman" w:cs="Times New Roman"/>
        </w:rPr>
        <w:t>, membership includes</w:t>
      </w:r>
      <w:r w:rsidRPr="00442B78">
        <w:rPr>
          <w:rFonts w:ascii="Times New Roman" w:hAnsi="Times New Roman" w:cs="Times New Roman"/>
        </w:rPr>
        <w:t xml:space="preserve"> 19</w:t>
      </w:r>
      <w:r w:rsidR="00464D6A">
        <w:rPr>
          <w:rFonts w:ascii="Times New Roman" w:hAnsi="Times New Roman" w:cs="Times New Roman"/>
        </w:rPr>
        <w:t>4</w:t>
      </w:r>
      <w:r w:rsidRPr="00442B78">
        <w:rPr>
          <w:rFonts w:ascii="Times New Roman" w:hAnsi="Times New Roman" w:cs="Times New Roman"/>
        </w:rPr>
        <w:t xml:space="preserve"> members in the program.</w:t>
      </w:r>
    </w:p>
    <w:p w14:paraId="3A122836" w14:textId="77777777" w:rsidR="00E87F92" w:rsidRDefault="00E87F92" w:rsidP="00E87F92">
      <w:pPr>
        <w:tabs>
          <w:tab w:val="left" w:pos="-1440"/>
        </w:tabs>
        <w:spacing w:after="0" w:line="276" w:lineRule="auto"/>
        <w:jc w:val="both"/>
        <w:rPr>
          <w:rFonts w:ascii="Times New Roman" w:hAnsi="Times New Roman" w:cs="Times New Roman"/>
        </w:rPr>
      </w:pPr>
    </w:p>
    <w:p w14:paraId="659D83DF" w14:textId="77777777" w:rsidR="00E87F92" w:rsidRDefault="00E87F92" w:rsidP="00E87F92">
      <w:pPr>
        <w:tabs>
          <w:tab w:val="left" w:pos="-1440"/>
        </w:tabs>
        <w:spacing w:after="0" w:line="276" w:lineRule="auto"/>
        <w:jc w:val="both"/>
        <w:rPr>
          <w:rFonts w:ascii="Times New Roman" w:hAnsi="Times New Roman" w:cs="Times New Roman"/>
        </w:rPr>
      </w:pPr>
      <w:r>
        <w:rPr>
          <w:rFonts w:ascii="Times New Roman" w:hAnsi="Times New Roman" w:cs="Times New Roman"/>
        </w:rPr>
        <w:t>The program provides the following forms of joint self-insurance and reinsurance coverage for its members: Property, including Automobile Comprehensive and Collision, Equipment Breakdown, and Crime Protection; and Liability, including General, Automobile, and Wrongful Acts, which are included to fit the member’s various needs.</w:t>
      </w:r>
    </w:p>
    <w:p w14:paraId="66D8DD33" w14:textId="77777777" w:rsidR="00E87F92" w:rsidRDefault="00E87F92" w:rsidP="00E87F92">
      <w:pPr>
        <w:tabs>
          <w:tab w:val="left" w:pos="-1440"/>
        </w:tabs>
        <w:spacing w:after="0" w:line="276" w:lineRule="auto"/>
        <w:jc w:val="both"/>
        <w:rPr>
          <w:rFonts w:ascii="Times New Roman" w:hAnsi="Times New Roman" w:cs="Times New Roman"/>
        </w:rPr>
      </w:pPr>
    </w:p>
    <w:p w14:paraId="28AAC98B" w14:textId="62475FF1" w:rsidR="00E87F92" w:rsidRDefault="00E87F92" w:rsidP="00E87F92">
      <w:pPr>
        <w:tabs>
          <w:tab w:val="left" w:pos="-1440"/>
        </w:tabs>
        <w:spacing w:after="0" w:line="276" w:lineRule="auto"/>
        <w:jc w:val="both"/>
        <w:rPr>
          <w:rFonts w:ascii="Times New Roman" w:hAnsi="Times New Roman" w:cs="Times New Roman"/>
        </w:rPr>
      </w:pPr>
      <w:r>
        <w:rPr>
          <w:rFonts w:ascii="Times New Roman" w:hAnsi="Times New Roman" w:cs="Times New Roman"/>
        </w:rPr>
        <w:t xml:space="preserve">The program acquires liability </w:t>
      </w:r>
      <w:r w:rsidR="00D94D98">
        <w:rPr>
          <w:rFonts w:ascii="Times New Roman" w:hAnsi="Times New Roman" w:cs="Times New Roman"/>
        </w:rPr>
        <w:t>re</w:t>
      </w:r>
      <w:r>
        <w:rPr>
          <w:rFonts w:ascii="Times New Roman" w:hAnsi="Times New Roman" w:cs="Times New Roman"/>
        </w:rPr>
        <w:t>insurance through their administrator, Clear Risk Solutions</w:t>
      </w:r>
      <w:r w:rsidR="001431F8">
        <w:rPr>
          <w:rFonts w:ascii="Times New Roman" w:hAnsi="Times New Roman" w:cs="Times New Roman"/>
        </w:rPr>
        <w:t>. Liability coverage is purchased to a</w:t>
      </w:r>
      <w:r w:rsidR="00464D6A">
        <w:rPr>
          <w:rFonts w:ascii="Times New Roman" w:hAnsi="Times New Roman" w:cs="Times New Roman"/>
        </w:rPr>
        <w:t xml:space="preserve"> group</w:t>
      </w:r>
      <w:r w:rsidR="001431F8">
        <w:rPr>
          <w:rFonts w:ascii="Times New Roman" w:hAnsi="Times New Roman" w:cs="Times New Roman"/>
        </w:rPr>
        <w:t xml:space="preserve"> aggregate limit of $50,000,000 with </w:t>
      </w:r>
      <w:proofErr w:type="gramStart"/>
      <w:r w:rsidR="001431F8">
        <w:rPr>
          <w:rFonts w:ascii="Times New Roman" w:hAnsi="Times New Roman" w:cs="Times New Roman"/>
        </w:rPr>
        <w:t xml:space="preserve">a </w:t>
      </w:r>
      <w:r>
        <w:rPr>
          <w:rFonts w:ascii="Times New Roman" w:hAnsi="Times New Roman" w:cs="Times New Roman"/>
        </w:rPr>
        <w:t xml:space="preserve"> self</w:t>
      </w:r>
      <w:proofErr w:type="gramEnd"/>
      <w:r>
        <w:rPr>
          <w:rFonts w:ascii="Times New Roman" w:hAnsi="Times New Roman" w:cs="Times New Roman"/>
        </w:rPr>
        <w:t>-insured retention (SIR) of $</w:t>
      </w:r>
      <w:r w:rsidR="00D94D98">
        <w:rPr>
          <w:rFonts w:ascii="Times New Roman" w:hAnsi="Times New Roman" w:cs="Times New Roman"/>
        </w:rPr>
        <w:t>75</w:t>
      </w:r>
      <w:r>
        <w:rPr>
          <w:rFonts w:ascii="Times New Roman" w:hAnsi="Times New Roman" w:cs="Times New Roman"/>
        </w:rPr>
        <w:t>0,000</w:t>
      </w:r>
      <w:r w:rsidR="00442B78">
        <w:rPr>
          <w:rFonts w:ascii="Times New Roman" w:hAnsi="Times New Roman" w:cs="Times New Roman"/>
        </w:rPr>
        <w:t>. Members are responsible for a $1,000 to $</w:t>
      </w:r>
      <w:r w:rsidR="001431F8">
        <w:rPr>
          <w:rFonts w:ascii="Times New Roman" w:hAnsi="Times New Roman" w:cs="Times New Roman"/>
        </w:rPr>
        <w:t>5</w:t>
      </w:r>
      <w:r w:rsidR="00442B78">
        <w:rPr>
          <w:rFonts w:ascii="Times New Roman" w:hAnsi="Times New Roman" w:cs="Times New Roman"/>
        </w:rPr>
        <w:t xml:space="preserve">0,000 deductible for each claim (can vary by member), </w:t>
      </w:r>
      <w:r w:rsidR="008A733D">
        <w:rPr>
          <w:rFonts w:ascii="Times New Roman" w:hAnsi="Times New Roman" w:cs="Times New Roman"/>
        </w:rPr>
        <w:t>while the program is responsible for the $</w:t>
      </w:r>
      <w:r w:rsidR="00D94D98">
        <w:rPr>
          <w:rFonts w:ascii="Times New Roman" w:hAnsi="Times New Roman" w:cs="Times New Roman"/>
        </w:rPr>
        <w:t>75</w:t>
      </w:r>
      <w:r w:rsidR="008A733D">
        <w:rPr>
          <w:rFonts w:ascii="Times New Roman" w:hAnsi="Times New Roman" w:cs="Times New Roman"/>
        </w:rPr>
        <w:t xml:space="preserve">0,000 SIR. </w:t>
      </w:r>
      <w:r>
        <w:rPr>
          <w:rFonts w:ascii="Times New Roman" w:hAnsi="Times New Roman" w:cs="Times New Roman"/>
        </w:rPr>
        <w:t xml:space="preserve">Since the program is a cooperative program, there is joint liability </w:t>
      </w:r>
      <w:r w:rsidR="008A733D">
        <w:rPr>
          <w:rFonts w:ascii="Times New Roman" w:hAnsi="Times New Roman" w:cs="Times New Roman"/>
        </w:rPr>
        <w:t>among</w:t>
      </w:r>
      <w:r>
        <w:rPr>
          <w:rFonts w:ascii="Times New Roman" w:hAnsi="Times New Roman" w:cs="Times New Roman"/>
        </w:rPr>
        <w:t xml:space="preserve"> the participating members toward the sharing of the $</w:t>
      </w:r>
      <w:r w:rsidR="00D94D98">
        <w:rPr>
          <w:rFonts w:ascii="Times New Roman" w:hAnsi="Times New Roman" w:cs="Times New Roman"/>
        </w:rPr>
        <w:t>75</w:t>
      </w:r>
      <w:r>
        <w:rPr>
          <w:rFonts w:ascii="Times New Roman" w:hAnsi="Times New Roman" w:cs="Times New Roman"/>
        </w:rPr>
        <w:t>0,000</w:t>
      </w:r>
      <w:r w:rsidR="008A733D">
        <w:rPr>
          <w:rFonts w:ascii="Times New Roman" w:hAnsi="Times New Roman" w:cs="Times New Roman"/>
        </w:rPr>
        <w:t xml:space="preserve"> SIR,</w:t>
      </w:r>
      <w:r>
        <w:rPr>
          <w:rFonts w:ascii="Times New Roman" w:hAnsi="Times New Roman" w:cs="Times New Roman"/>
        </w:rPr>
        <w:t xml:space="preserve"> in addition to the deductible. The program also purchased a Stop Loss Policy as another layer of protection to its membership, with an attachment point </w:t>
      </w:r>
      <w:r w:rsidRPr="008A733D">
        <w:rPr>
          <w:rFonts w:ascii="Times New Roman" w:hAnsi="Times New Roman" w:cs="Times New Roman"/>
        </w:rPr>
        <w:t>of $</w:t>
      </w:r>
      <w:r w:rsidR="00D94D98">
        <w:rPr>
          <w:rFonts w:ascii="Times New Roman" w:hAnsi="Times New Roman" w:cs="Times New Roman"/>
        </w:rPr>
        <w:t>8</w:t>
      </w:r>
      <w:r w:rsidR="008A733D" w:rsidRPr="008A733D">
        <w:rPr>
          <w:rFonts w:ascii="Times New Roman" w:hAnsi="Times New Roman" w:cs="Times New Roman"/>
        </w:rPr>
        <w:t>,</w:t>
      </w:r>
      <w:r w:rsidR="00464D6A">
        <w:rPr>
          <w:rFonts w:ascii="Times New Roman" w:hAnsi="Times New Roman" w:cs="Times New Roman"/>
        </w:rPr>
        <w:t>297,362</w:t>
      </w:r>
      <w:r w:rsidR="008A733D" w:rsidRPr="008A733D">
        <w:rPr>
          <w:rFonts w:ascii="Times New Roman" w:hAnsi="Times New Roman" w:cs="Times New Roman"/>
        </w:rPr>
        <w:t xml:space="preserve">, </w:t>
      </w:r>
      <w:r w:rsidR="008A733D">
        <w:rPr>
          <w:rFonts w:ascii="Times New Roman" w:hAnsi="Times New Roman" w:cs="Times New Roman"/>
        </w:rPr>
        <w:t>which is fully funded in its annual budget</w:t>
      </w:r>
      <w:r w:rsidRPr="008A733D">
        <w:rPr>
          <w:rFonts w:ascii="Times New Roman" w:hAnsi="Times New Roman" w:cs="Times New Roman"/>
        </w:rPr>
        <w:t>.</w:t>
      </w:r>
    </w:p>
    <w:p w14:paraId="3B028F12" w14:textId="77777777" w:rsidR="00E87F92" w:rsidRDefault="00E87F92" w:rsidP="00E87F92">
      <w:pPr>
        <w:tabs>
          <w:tab w:val="left" w:pos="-1440"/>
        </w:tabs>
        <w:spacing w:after="0" w:line="276" w:lineRule="auto"/>
        <w:jc w:val="both"/>
        <w:rPr>
          <w:rFonts w:ascii="Times New Roman" w:hAnsi="Times New Roman" w:cs="Times New Roman"/>
        </w:rPr>
      </w:pPr>
    </w:p>
    <w:p w14:paraId="6C377A81" w14:textId="34143368" w:rsidR="00E87F92" w:rsidRDefault="00E87F92" w:rsidP="00E87F92">
      <w:pPr>
        <w:tabs>
          <w:tab w:val="left" w:pos="-1440"/>
        </w:tabs>
        <w:spacing w:after="0" w:line="276" w:lineRule="auto"/>
        <w:jc w:val="both"/>
        <w:rPr>
          <w:rFonts w:ascii="Times New Roman" w:hAnsi="Times New Roman" w:cs="Times New Roman"/>
        </w:rPr>
      </w:pPr>
      <w:r>
        <w:rPr>
          <w:rFonts w:ascii="Times New Roman" w:hAnsi="Times New Roman" w:cs="Times New Roman"/>
        </w:rPr>
        <w:t>Property insurance is subject to a per occurren</w:t>
      </w:r>
      <w:r w:rsidR="008A733D">
        <w:rPr>
          <w:rFonts w:ascii="Times New Roman" w:hAnsi="Times New Roman" w:cs="Times New Roman"/>
        </w:rPr>
        <w:t>ce</w:t>
      </w:r>
      <w:r>
        <w:rPr>
          <w:rFonts w:ascii="Times New Roman" w:hAnsi="Times New Roman" w:cs="Times New Roman"/>
        </w:rPr>
        <w:t xml:space="preserve"> </w:t>
      </w:r>
      <w:r w:rsidR="008A733D">
        <w:rPr>
          <w:rFonts w:ascii="Times New Roman" w:hAnsi="Times New Roman" w:cs="Times New Roman"/>
        </w:rPr>
        <w:t>SIR</w:t>
      </w:r>
      <w:r>
        <w:rPr>
          <w:rFonts w:ascii="Times New Roman" w:hAnsi="Times New Roman" w:cs="Times New Roman"/>
        </w:rPr>
        <w:t xml:space="preserve"> of $</w:t>
      </w:r>
      <w:r w:rsidR="00D94D98">
        <w:rPr>
          <w:rFonts w:ascii="Times New Roman" w:hAnsi="Times New Roman" w:cs="Times New Roman"/>
        </w:rPr>
        <w:t>75</w:t>
      </w:r>
      <w:r w:rsidR="008A733D">
        <w:rPr>
          <w:rFonts w:ascii="Times New Roman" w:hAnsi="Times New Roman" w:cs="Times New Roman"/>
        </w:rPr>
        <w:t>0</w:t>
      </w:r>
      <w:r>
        <w:rPr>
          <w:rFonts w:ascii="Times New Roman" w:hAnsi="Times New Roman" w:cs="Times New Roman"/>
        </w:rPr>
        <w:t>,000. Members are responsible for a $1,000 deductible for each claim</w:t>
      </w:r>
      <w:r w:rsidR="008A733D">
        <w:rPr>
          <w:rFonts w:ascii="Times New Roman" w:hAnsi="Times New Roman" w:cs="Times New Roman"/>
        </w:rPr>
        <w:t xml:space="preserve"> (some member deductibles vary)</w:t>
      </w:r>
      <w:r>
        <w:rPr>
          <w:rFonts w:ascii="Times New Roman" w:hAnsi="Times New Roman" w:cs="Times New Roman"/>
        </w:rPr>
        <w:t>. The program bears the $</w:t>
      </w:r>
      <w:r w:rsidR="00D94D98">
        <w:rPr>
          <w:rFonts w:ascii="Times New Roman" w:hAnsi="Times New Roman" w:cs="Times New Roman"/>
        </w:rPr>
        <w:t>75</w:t>
      </w:r>
      <w:r w:rsidR="008A733D">
        <w:rPr>
          <w:rFonts w:ascii="Times New Roman" w:hAnsi="Times New Roman" w:cs="Times New Roman"/>
        </w:rPr>
        <w:t>0</w:t>
      </w:r>
      <w:r>
        <w:rPr>
          <w:rFonts w:ascii="Times New Roman" w:hAnsi="Times New Roman" w:cs="Times New Roman"/>
        </w:rPr>
        <w:t>,000 self-insured retention, in addition to the deductible.</w:t>
      </w:r>
    </w:p>
    <w:p w14:paraId="646B4257" w14:textId="77777777" w:rsidR="008A733D" w:rsidRDefault="008A733D" w:rsidP="008A733D">
      <w:pPr>
        <w:tabs>
          <w:tab w:val="left" w:pos="-1440"/>
        </w:tabs>
        <w:spacing w:after="0" w:line="276" w:lineRule="auto"/>
        <w:jc w:val="both"/>
        <w:rPr>
          <w:rFonts w:ascii="Times New Roman" w:hAnsi="Times New Roman" w:cs="Times New Roman"/>
        </w:rPr>
      </w:pPr>
    </w:p>
    <w:p w14:paraId="2763A651" w14:textId="4CDBDE79" w:rsidR="00E87F92" w:rsidRDefault="008A733D" w:rsidP="008A733D">
      <w:pPr>
        <w:tabs>
          <w:tab w:val="left" w:pos="-1440"/>
        </w:tabs>
        <w:spacing w:after="0" w:line="276" w:lineRule="auto"/>
        <w:jc w:val="both"/>
        <w:rPr>
          <w:rFonts w:ascii="Times New Roman" w:hAnsi="Times New Roman" w:cs="Times New Roman"/>
        </w:rPr>
      </w:pPr>
      <w:r w:rsidRPr="008A733D">
        <w:rPr>
          <w:rFonts w:ascii="Times New Roman" w:hAnsi="Times New Roman" w:cs="Times New Roman"/>
        </w:rPr>
        <w:t>Crime insurance is subject to a per occurrence self-insured retention of $25,000.</w:t>
      </w:r>
      <w:r>
        <w:rPr>
          <w:rFonts w:ascii="Times New Roman" w:hAnsi="Times New Roman" w:cs="Times New Roman"/>
        </w:rPr>
        <w:t xml:space="preserve"> </w:t>
      </w:r>
      <w:r w:rsidRPr="008A733D">
        <w:rPr>
          <w:rFonts w:ascii="Times New Roman" w:hAnsi="Times New Roman" w:cs="Times New Roman"/>
        </w:rPr>
        <w:t>Members are responsible for a $1,000 deductible for each claim (some member</w:t>
      </w:r>
      <w:r>
        <w:rPr>
          <w:rFonts w:ascii="Times New Roman" w:hAnsi="Times New Roman" w:cs="Times New Roman"/>
        </w:rPr>
        <w:t xml:space="preserve"> </w:t>
      </w:r>
      <w:r w:rsidRPr="008A733D">
        <w:rPr>
          <w:rFonts w:ascii="Times New Roman" w:hAnsi="Times New Roman" w:cs="Times New Roman"/>
        </w:rPr>
        <w:t>deductibles vary). The program bears the $25,000 SIR, in addition to the deductible.</w:t>
      </w:r>
    </w:p>
    <w:p w14:paraId="2D8FF7D2" w14:textId="77777777" w:rsidR="00D152A2" w:rsidRDefault="00D152A2" w:rsidP="00E87F92">
      <w:pPr>
        <w:tabs>
          <w:tab w:val="left" w:pos="-1440"/>
        </w:tabs>
        <w:spacing w:after="0" w:line="276" w:lineRule="auto"/>
        <w:jc w:val="both"/>
        <w:rPr>
          <w:rFonts w:ascii="Times New Roman" w:hAnsi="Times New Roman" w:cs="Times New Roman"/>
        </w:rPr>
      </w:pPr>
    </w:p>
    <w:p w14:paraId="41F30ECC" w14:textId="441F5A8D" w:rsidR="00E87F92" w:rsidRDefault="00E87F92" w:rsidP="00E87F92">
      <w:pPr>
        <w:tabs>
          <w:tab w:val="left" w:pos="-1440"/>
        </w:tabs>
        <w:spacing w:after="0" w:line="276" w:lineRule="auto"/>
        <w:jc w:val="both"/>
        <w:rPr>
          <w:rFonts w:ascii="Times New Roman" w:hAnsi="Times New Roman" w:cs="Times New Roman"/>
        </w:rPr>
      </w:pPr>
      <w:r>
        <w:rPr>
          <w:rFonts w:ascii="Times New Roman" w:hAnsi="Times New Roman" w:cs="Times New Roman"/>
        </w:rPr>
        <w:t>Equipment Breakdown insurance is subject to a per occurrence deductible of $2,500</w:t>
      </w:r>
      <w:r w:rsidR="00D152A2">
        <w:rPr>
          <w:rFonts w:ascii="Times New Roman" w:hAnsi="Times New Roman" w:cs="Times New Roman"/>
        </w:rPr>
        <w:t xml:space="preserve"> (cities and special districts) and $500 (fire districts)</w:t>
      </w:r>
      <w:r>
        <w:rPr>
          <w:rFonts w:ascii="Times New Roman" w:hAnsi="Times New Roman" w:cs="Times New Roman"/>
        </w:rPr>
        <w:t xml:space="preserve">, which may vary per member, </w:t>
      </w:r>
      <w:proofErr w:type="gramStart"/>
      <w:r>
        <w:rPr>
          <w:rFonts w:ascii="Times New Roman" w:hAnsi="Times New Roman" w:cs="Times New Roman"/>
        </w:rPr>
        <w:t>with the exception of</w:t>
      </w:r>
      <w:proofErr w:type="gramEnd"/>
      <w:r>
        <w:rPr>
          <w:rFonts w:ascii="Times New Roman" w:hAnsi="Times New Roman" w:cs="Times New Roman"/>
        </w:rPr>
        <w:t xml:space="preserve"> Pumps &amp; Motors, which is $10,000. Members are responsible for the deductible amount of each claim. There is no program </w:t>
      </w:r>
      <w:r w:rsidR="00D152A2">
        <w:rPr>
          <w:rFonts w:ascii="Times New Roman" w:hAnsi="Times New Roman" w:cs="Times New Roman"/>
        </w:rPr>
        <w:t>SIR</w:t>
      </w:r>
      <w:r>
        <w:rPr>
          <w:rFonts w:ascii="Times New Roman" w:hAnsi="Times New Roman" w:cs="Times New Roman"/>
        </w:rPr>
        <w:t xml:space="preserve"> on this coverage, </w:t>
      </w:r>
      <w:proofErr w:type="gramStart"/>
      <w:r>
        <w:rPr>
          <w:rFonts w:ascii="Times New Roman" w:hAnsi="Times New Roman" w:cs="Times New Roman"/>
        </w:rPr>
        <w:t>with the exception of</w:t>
      </w:r>
      <w:proofErr w:type="gramEnd"/>
      <w:r>
        <w:rPr>
          <w:rFonts w:ascii="Times New Roman" w:hAnsi="Times New Roman" w:cs="Times New Roman"/>
        </w:rPr>
        <w:t xml:space="preserve"> Pumps &amp; Motors, which is $15,000 and is covered by CIAW.</w:t>
      </w:r>
    </w:p>
    <w:p w14:paraId="01E1AF77" w14:textId="4A150C58" w:rsidR="00D152A2" w:rsidRDefault="00D152A2" w:rsidP="00E87F92">
      <w:pPr>
        <w:tabs>
          <w:tab w:val="left" w:pos="-1440"/>
        </w:tabs>
        <w:spacing w:after="0" w:line="276" w:lineRule="auto"/>
        <w:jc w:val="both"/>
        <w:rPr>
          <w:rFonts w:ascii="Times New Roman" w:hAnsi="Times New Roman" w:cs="Times New Roman"/>
        </w:rPr>
      </w:pPr>
    </w:p>
    <w:p w14:paraId="24877AF1" w14:textId="7979282E" w:rsidR="00D152A2" w:rsidRDefault="00D152A2" w:rsidP="00E87F92">
      <w:pPr>
        <w:tabs>
          <w:tab w:val="left" w:pos="-1440"/>
        </w:tabs>
        <w:spacing w:after="0" w:line="276" w:lineRule="auto"/>
        <w:jc w:val="both"/>
        <w:rPr>
          <w:rFonts w:ascii="Times New Roman" w:hAnsi="Times New Roman" w:cs="Times New Roman"/>
        </w:rPr>
      </w:pPr>
      <w:r>
        <w:rPr>
          <w:rFonts w:ascii="Times New Roman" w:hAnsi="Times New Roman" w:cs="Times New Roman"/>
        </w:rPr>
        <w:t>Cyber liability insurance is subject to a per-occurrence SIR of $50,000. Members are responsible for a $10,000 deductible for each claim, while the program is responsible for the remaining $40,000 SIR.</w:t>
      </w:r>
    </w:p>
    <w:p w14:paraId="248B7118" w14:textId="77777777" w:rsidR="00E87F92" w:rsidRDefault="00E87F92" w:rsidP="00E87F92">
      <w:pPr>
        <w:tabs>
          <w:tab w:val="left" w:pos="-1440"/>
        </w:tabs>
        <w:spacing w:after="0" w:line="276" w:lineRule="auto"/>
        <w:jc w:val="both"/>
        <w:rPr>
          <w:rFonts w:ascii="Times New Roman" w:hAnsi="Times New Roman" w:cs="Times New Roman"/>
        </w:rPr>
      </w:pPr>
    </w:p>
    <w:p w14:paraId="147E6184" w14:textId="1B213EB6" w:rsidR="00E87F92" w:rsidRDefault="00E87F92" w:rsidP="00E87F92">
      <w:pPr>
        <w:tabs>
          <w:tab w:val="left" w:pos="-1440"/>
        </w:tabs>
        <w:spacing w:after="0" w:line="276" w:lineRule="auto"/>
        <w:jc w:val="both"/>
        <w:rPr>
          <w:rFonts w:ascii="Times New Roman" w:hAnsi="Times New Roman" w:cs="Times New Roman"/>
        </w:rPr>
      </w:pPr>
      <w:r>
        <w:rPr>
          <w:rFonts w:ascii="Times New Roman" w:hAnsi="Times New Roman" w:cs="Times New Roman"/>
        </w:rPr>
        <w:t xml:space="preserve">Members contract to remain in the program for a minimum of one year and must give notice before December 1 to terminate participation the following December 1. The Interlocal Agreement is renewed automatically each year. In the </w:t>
      </w:r>
      <w:r w:rsidR="00676FFC">
        <w:rPr>
          <w:rFonts w:ascii="Times New Roman" w:hAnsi="Times New Roman" w:cs="Times New Roman"/>
        </w:rPr>
        <w:t>event</w:t>
      </w:r>
      <w:r>
        <w:rPr>
          <w:rFonts w:ascii="Times New Roman" w:hAnsi="Times New Roman" w:cs="Times New Roman"/>
        </w:rPr>
        <w:t xml:space="preserve"> of termination, a member is still responsible for contributions to the program for any unresolved, unreported, an</w:t>
      </w:r>
      <w:r w:rsidR="00676FFC">
        <w:rPr>
          <w:rFonts w:ascii="Times New Roman" w:hAnsi="Times New Roman" w:cs="Times New Roman"/>
        </w:rPr>
        <w:t>d</w:t>
      </w:r>
      <w:r>
        <w:rPr>
          <w:rFonts w:ascii="Times New Roman" w:hAnsi="Times New Roman" w:cs="Times New Roman"/>
        </w:rPr>
        <w:t xml:space="preserve"> in-process claims for the period they were a signatory in the Interlocal Agreement.</w:t>
      </w:r>
    </w:p>
    <w:p w14:paraId="4F6FB67B" w14:textId="77777777" w:rsidR="00E87F92" w:rsidRDefault="00E87F92" w:rsidP="00E87F92">
      <w:pPr>
        <w:tabs>
          <w:tab w:val="left" w:pos="-1440"/>
        </w:tabs>
        <w:spacing w:after="0" w:line="276" w:lineRule="auto"/>
        <w:jc w:val="both"/>
        <w:rPr>
          <w:rFonts w:ascii="Times New Roman" w:hAnsi="Times New Roman" w:cs="Times New Roman"/>
        </w:rPr>
      </w:pPr>
    </w:p>
    <w:p w14:paraId="2FC9CACE" w14:textId="25974187" w:rsidR="00676FFC" w:rsidRDefault="00676FFC" w:rsidP="00676FFC">
      <w:pPr>
        <w:tabs>
          <w:tab w:val="left" w:pos="-1440"/>
        </w:tabs>
        <w:spacing w:after="0" w:line="276" w:lineRule="auto"/>
        <w:jc w:val="both"/>
        <w:rPr>
          <w:rFonts w:ascii="Times New Roman" w:hAnsi="Times New Roman" w:cs="Times New Roman"/>
        </w:rPr>
      </w:pPr>
      <w:r>
        <w:rPr>
          <w:rFonts w:ascii="Times New Roman" w:hAnsi="Times New Roman" w:cs="Times New Roman"/>
        </w:rPr>
        <w:t xml:space="preserve">The program has no employees. Claims are filed by members/brokers with Clear Risk Solutions, who </w:t>
      </w:r>
      <w:proofErr w:type="gramStart"/>
      <w:r>
        <w:rPr>
          <w:rFonts w:ascii="Times New Roman" w:hAnsi="Times New Roman" w:cs="Times New Roman"/>
        </w:rPr>
        <w:t>has</w:t>
      </w:r>
      <w:proofErr w:type="gramEnd"/>
      <w:r>
        <w:rPr>
          <w:rFonts w:ascii="Times New Roman" w:hAnsi="Times New Roman" w:cs="Times New Roman"/>
        </w:rPr>
        <w:t xml:space="preserve"> been contracted to perform program administration, underwriting, claims adjustment, and loss prevention for the program. Fees paid to the third-party administrator under this arrangement for the year ending December 1, 20</w:t>
      </w:r>
      <w:r w:rsidR="00464D6A">
        <w:rPr>
          <w:rFonts w:ascii="Times New Roman" w:hAnsi="Times New Roman" w:cs="Times New Roman"/>
        </w:rPr>
        <w:t>24</w:t>
      </w:r>
      <w:r>
        <w:rPr>
          <w:rFonts w:ascii="Times New Roman" w:hAnsi="Times New Roman" w:cs="Times New Roman"/>
        </w:rPr>
        <w:t xml:space="preserve">, </w:t>
      </w:r>
      <w:r w:rsidRPr="00676FFC">
        <w:rPr>
          <w:rFonts w:ascii="Times New Roman" w:hAnsi="Times New Roman" w:cs="Times New Roman"/>
        </w:rPr>
        <w:t>were $</w:t>
      </w:r>
      <w:r w:rsidR="00D94D98">
        <w:rPr>
          <w:rFonts w:ascii="Times New Roman" w:hAnsi="Times New Roman" w:cs="Times New Roman"/>
        </w:rPr>
        <w:t>3</w:t>
      </w:r>
      <w:r w:rsidRPr="00676FFC">
        <w:rPr>
          <w:rFonts w:ascii="Times New Roman" w:hAnsi="Times New Roman" w:cs="Times New Roman"/>
        </w:rPr>
        <w:t>,</w:t>
      </w:r>
      <w:r w:rsidR="00464D6A">
        <w:rPr>
          <w:rFonts w:ascii="Times New Roman" w:hAnsi="Times New Roman" w:cs="Times New Roman"/>
        </w:rPr>
        <w:t>307,706</w:t>
      </w:r>
      <w:r>
        <w:rPr>
          <w:rFonts w:ascii="Times New Roman" w:hAnsi="Times New Roman" w:cs="Times New Roman"/>
        </w:rPr>
        <w:t>.</w:t>
      </w:r>
    </w:p>
    <w:p w14:paraId="2C37F88A" w14:textId="77777777" w:rsidR="00676FFC" w:rsidRDefault="00676FFC" w:rsidP="00E87F92">
      <w:pPr>
        <w:tabs>
          <w:tab w:val="left" w:pos="-1440"/>
        </w:tabs>
        <w:spacing w:after="0" w:line="276" w:lineRule="auto"/>
        <w:jc w:val="both"/>
        <w:rPr>
          <w:rFonts w:ascii="Times New Roman" w:hAnsi="Times New Roman" w:cs="Times New Roman"/>
        </w:rPr>
      </w:pPr>
    </w:p>
    <w:p w14:paraId="0BB86900" w14:textId="6B761607" w:rsidR="00E87F92" w:rsidRDefault="00E87F92" w:rsidP="00E87F92">
      <w:pPr>
        <w:tabs>
          <w:tab w:val="left" w:pos="-1440"/>
        </w:tabs>
        <w:spacing w:after="0" w:line="276" w:lineRule="auto"/>
        <w:jc w:val="both"/>
        <w:rPr>
          <w:rFonts w:ascii="Times New Roman" w:hAnsi="Times New Roman" w:cs="Times New Roman"/>
        </w:rPr>
      </w:pPr>
      <w:r>
        <w:rPr>
          <w:rFonts w:ascii="Times New Roman" w:hAnsi="Times New Roman" w:cs="Times New Roman"/>
        </w:rPr>
        <w:t>A board of ten members is selected by the membership from three geographic areas of the state on a staggered term basis and is responsible for conducting the business affairs of the program.</w:t>
      </w:r>
    </w:p>
    <w:p w14:paraId="3CA0D016" w14:textId="77777777" w:rsidR="00E87F92" w:rsidRDefault="00E87F92" w:rsidP="00E87F92">
      <w:pPr>
        <w:tabs>
          <w:tab w:val="left" w:pos="-1440"/>
        </w:tabs>
        <w:spacing w:after="0" w:line="276" w:lineRule="auto"/>
        <w:jc w:val="both"/>
        <w:rPr>
          <w:rFonts w:ascii="Times New Roman" w:hAnsi="Times New Roman" w:cs="Times New Roman"/>
        </w:rPr>
      </w:pPr>
    </w:p>
    <w:p w14:paraId="398DE35A" w14:textId="3EB62A80" w:rsidR="00E87F92" w:rsidRDefault="00E87F92" w:rsidP="00E87F92">
      <w:pPr>
        <w:tabs>
          <w:tab w:val="left" w:pos="-1440"/>
        </w:tabs>
        <w:spacing w:after="0" w:line="276" w:lineRule="auto"/>
        <w:jc w:val="both"/>
        <w:rPr>
          <w:rFonts w:ascii="Times New Roman" w:hAnsi="Times New Roman" w:cs="Times New Roman"/>
          <w:b/>
          <w:bCs/>
        </w:rPr>
      </w:pPr>
      <w:r>
        <w:rPr>
          <w:rFonts w:ascii="Times New Roman" w:hAnsi="Times New Roman" w:cs="Times New Roman"/>
          <w:b/>
          <w:bCs/>
        </w:rPr>
        <w:t xml:space="preserve">Note </w:t>
      </w:r>
      <w:r w:rsidR="00A57059">
        <w:rPr>
          <w:rFonts w:ascii="Times New Roman" w:hAnsi="Times New Roman" w:cs="Times New Roman"/>
          <w:b/>
          <w:bCs/>
        </w:rPr>
        <w:t>9</w:t>
      </w:r>
      <w:r>
        <w:rPr>
          <w:rFonts w:ascii="Times New Roman" w:hAnsi="Times New Roman" w:cs="Times New Roman"/>
          <w:b/>
          <w:bCs/>
        </w:rPr>
        <w:t xml:space="preserve"> – Health &amp; Welfare</w:t>
      </w:r>
    </w:p>
    <w:p w14:paraId="1357CEBC" w14:textId="77777777" w:rsidR="00E87F92" w:rsidRDefault="00E87F92" w:rsidP="00E87F92">
      <w:pPr>
        <w:tabs>
          <w:tab w:val="left" w:pos="-1440"/>
        </w:tabs>
        <w:spacing w:after="0" w:line="276" w:lineRule="auto"/>
        <w:jc w:val="both"/>
        <w:rPr>
          <w:rFonts w:ascii="Times New Roman" w:hAnsi="Times New Roman" w:cs="Times New Roman"/>
          <w:b/>
          <w:bCs/>
        </w:rPr>
      </w:pPr>
    </w:p>
    <w:p w14:paraId="2AA2D060" w14:textId="77777777" w:rsidR="00E87F92" w:rsidRDefault="00E87F92" w:rsidP="00E87F92">
      <w:pPr>
        <w:tabs>
          <w:tab w:val="left" w:pos="-1440"/>
        </w:tabs>
        <w:spacing w:after="0" w:line="276" w:lineRule="auto"/>
        <w:jc w:val="both"/>
        <w:rPr>
          <w:rFonts w:ascii="Times New Roman" w:hAnsi="Times New Roman" w:cs="Times New Roman"/>
        </w:rPr>
      </w:pPr>
      <w:r>
        <w:rPr>
          <w:rFonts w:ascii="Times New Roman" w:hAnsi="Times New Roman" w:cs="Times New Roman"/>
        </w:rPr>
        <w:t>The City of Napavine is a member of the Association of Washington Cities Employee Benefit Trust Health Care Program (AWC Trust HCP). Chapter 48.62 RCW provides that two or more local government entities may, by Interlocal Agreement under Chapter 36.34 RCW, form together to join a pool or organization for the joint purchasing of insurance, and/or joint self-insurance, to the same extent that they may individually purchase insurance or self-insure.</w:t>
      </w:r>
    </w:p>
    <w:p w14:paraId="4320B0B1" w14:textId="77777777" w:rsidR="00E87F92" w:rsidRDefault="00E87F92" w:rsidP="00E87F92">
      <w:pPr>
        <w:tabs>
          <w:tab w:val="left" w:pos="-1440"/>
        </w:tabs>
        <w:spacing w:after="0" w:line="276" w:lineRule="auto"/>
        <w:jc w:val="both"/>
        <w:rPr>
          <w:rFonts w:ascii="Times New Roman" w:hAnsi="Times New Roman" w:cs="Times New Roman"/>
        </w:rPr>
      </w:pPr>
    </w:p>
    <w:p w14:paraId="58274A85" w14:textId="4C21D7D8" w:rsidR="00E87F92" w:rsidRDefault="00E87F92" w:rsidP="00E87F92">
      <w:pPr>
        <w:tabs>
          <w:tab w:val="left" w:pos="-1440"/>
        </w:tabs>
        <w:spacing w:after="0" w:line="276" w:lineRule="auto"/>
        <w:jc w:val="both"/>
        <w:rPr>
          <w:rFonts w:ascii="Times New Roman" w:hAnsi="Times New Roman" w:cs="Times New Roman"/>
        </w:rPr>
      </w:pPr>
      <w:r>
        <w:rPr>
          <w:rFonts w:ascii="Times New Roman" w:hAnsi="Times New Roman" w:cs="Times New Roman"/>
        </w:rPr>
        <w:t>An agreement to form a pooling arrangement was made pursuant to the provisions of Chapter 39.34 RCW, the Interlocal Cooperation Act. The AWC Trust HCP was formed on January 1, 2014</w:t>
      </w:r>
      <w:r w:rsidR="00296A99">
        <w:rPr>
          <w:rFonts w:ascii="Times New Roman" w:hAnsi="Times New Roman" w:cs="Times New Roman"/>
        </w:rPr>
        <w:t>,</w:t>
      </w:r>
      <w:r>
        <w:rPr>
          <w:rFonts w:ascii="Times New Roman" w:hAnsi="Times New Roman" w:cs="Times New Roman"/>
        </w:rPr>
        <w:t xml:space="preserve"> when participating cities, towns, and non-city entities of the AWC Employee Benefit Trust in the State of Washington joined together by signing an Interlocal Governmental Agreement to jointly self-insure certain health benefit plans </w:t>
      </w:r>
      <w:r>
        <w:rPr>
          <w:rFonts w:ascii="Times New Roman" w:hAnsi="Times New Roman" w:cs="Times New Roman"/>
        </w:rPr>
        <w:lastRenderedPageBreak/>
        <w:t>and programs for participating employees, their covered dependents and other beneficiaries through a designated account with the Trust.</w:t>
      </w:r>
    </w:p>
    <w:p w14:paraId="7662B072" w14:textId="77777777" w:rsidR="00E87F92" w:rsidRDefault="00E87F92" w:rsidP="00E87F92">
      <w:pPr>
        <w:tabs>
          <w:tab w:val="left" w:pos="-1440"/>
        </w:tabs>
        <w:spacing w:after="0" w:line="276" w:lineRule="auto"/>
        <w:jc w:val="both"/>
        <w:rPr>
          <w:rFonts w:ascii="Times New Roman" w:hAnsi="Times New Roman" w:cs="Times New Roman"/>
        </w:rPr>
      </w:pPr>
    </w:p>
    <w:p w14:paraId="43180757" w14:textId="6AF4E96B" w:rsidR="00E87F92" w:rsidRDefault="00E87F92" w:rsidP="00E87F92">
      <w:pPr>
        <w:tabs>
          <w:tab w:val="left" w:pos="-1440"/>
        </w:tabs>
        <w:spacing w:after="0" w:line="276" w:lineRule="auto"/>
        <w:jc w:val="both"/>
        <w:rPr>
          <w:rFonts w:ascii="Times New Roman" w:hAnsi="Times New Roman" w:cs="Times New Roman"/>
        </w:rPr>
      </w:pPr>
      <w:r>
        <w:rPr>
          <w:rFonts w:ascii="Times New Roman" w:hAnsi="Times New Roman" w:cs="Times New Roman"/>
        </w:rPr>
        <w:t>As of December 31, 202</w:t>
      </w:r>
      <w:r w:rsidR="00464D6A">
        <w:rPr>
          <w:rFonts w:ascii="Times New Roman" w:hAnsi="Times New Roman" w:cs="Times New Roman"/>
        </w:rPr>
        <w:t>4</w:t>
      </w:r>
      <w:r>
        <w:rPr>
          <w:rFonts w:ascii="Times New Roman" w:hAnsi="Times New Roman" w:cs="Times New Roman"/>
        </w:rPr>
        <w:t>, 26</w:t>
      </w:r>
      <w:r w:rsidR="00464D6A">
        <w:rPr>
          <w:rFonts w:ascii="Times New Roman" w:hAnsi="Times New Roman" w:cs="Times New Roman"/>
        </w:rPr>
        <w:t>8</w:t>
      </w:r>
      <w:r>
        <w:rPr>
          <w:rFonts w:ascii="Times New Roman" w:hAnsi="Times New Roman" w:cs="Times New Roman"/>
        </w:rPr>
        <w:t xml:space="preserve"> cities/towns/non-city entities participate in the AWC Trust HCP. </w:t>
      </w:r>
    </w:p>
    <w:p w14:paraId="0BDE6D40" w14:textId="77777777" w:rsidR="00E87F92" w:rsidRDefault="00E87F92" w:rsidP="00E87F92">
      <w:pPr>
        <w:tabs>
          <w:tab w:val="left" w:pos="-1440"/>
        </w:tabs>
        <w:spacing w:after="0" w:line="276" w:lineRule="auto"/>
        <w:jc w:val="both"/>
        <w:rPr>
          <w:rFonts w:ascii="Times New Roman" w:hAnsi="Times New Roman" w:cs="Times New Roman"/>
        </w:rPr>
      </w:pPr>
    </w:p>
    <w:p w14:paraId="6F11DF27" w14:textId="77777777" w:rsidR="00E87F92" w:rsidRDefault="00E87F92" w:rsidP="00E87F92">
      <w:pPr>
        <w:tabs>
          <w:tab w:val="left" w:pos="-1440"/>
        </w:tabs>
        <w:spacing w:after="0" w:line="276" w:lineRule="auto"/>
        <w:jc w:val="both"/>
        <w:rPr>
          <w:rFonts w:ascii="Times New Roman" w:hAnsi="Times New Roman" w:cs="Times New Roman"/>
        </w:rPr>
      </w:pPr>
      <w:r>
        <w:rPr>
          <w:rFonts w:ascii="Times New Roman" w:hAnsi="Times New Roman" w:cs="Times New Roman"/>
        </w:rPr>
        <w:t>The AWC Trust HCP allows members to establish a program of joint insurance and provides health and welfare services to all participating members.</w:t>
      </w:r>
    </w:p>
    <w:p w14:paraId="1BAAD022" w14:textId="77777777" w:rsidR="00E87F92" w:rsidRDefault="00E87F92" w:rsidP="00E87F92">
      <w:pPr>
        <w:tabs>
          <w:tab w:val="left" w:pos="-1440"/>
        </w:tabs>
        <w:spacing w:after="0" w:line="276" w:lineRule="auto"/>
        <w:jc w:val="both"/>
        <w:rPr>
          <w:rFonts w:ascii="Times New Roman" w:hAnsi="Times New Roman" w:cs="Times New Roman"/>
        </w:rPr>
      </w:pPr>
    </w:p>
    <w:p w14:paraId="02FF70A9" w14:textId="5E2CDAE8" w:rsidR="00E87F92" w:rsidRDefault="00E87F92" w:rsidP="00E87F92">
      <w:pPr>
        <w:tabs>
          <w:tab w:val="left" w:pos="-1440"/>
        </w:tabs>
        <w:spacing w:after="0" w:line="276" w:lineRule="auto"/>
        <w:jc w:val="both"/>
        <w:rPr>
          <w:rFonts w:ascii="Times New Roman" w:hAnsi="Times New Roman" w:cs="Times New Roman"/>
        </w:rPr>
      </w:pPr>
      <w:r>
        <w:rPr>
          <w:rFonts w:ascii="Times New Roman" w:hAnsi="Times New Roman" w:cs="Times New Roman"/>
        </w:rPr>
        <w:t xml:space="preserve">In April 2020, the Board of Trustees adopted a large employer policy, requiring newly enrolling groups with 600 or more employees to submit medical claims experience data </w:t>
      </w:r>
      <w:proofErr w:type="gramStart"/>
      <w:r>
        <w:rPr>
          <w:rFonts w:ascii="Times New Roman" w:hAnsi="Times New Roman" w:cs="Times New Roman"/>
        </w:rPr>
        <w:t>in order to</w:t>
      </w:r>
      <w:proofErr w:type="gramEnd"/>
      <w:r>
        <w:rPr>
          <w:rFonts w:ascii="Times New Roman" w:hAnsi="Times New Roman" w:cs="Times New Roman"/>
        </w:rPr>
        <w:t xml:space="preserve"> receive a quote for medical coverage. Outside of this, the AWC Trust HCP pools claims without regard to individual member experience. The pool is actuarially rate</w:t>
      </w:r>
      <w:r w:rsidR="00242725">
        <w:rPr>
          <w:rFonts w:ascii="Times New Roman" w:hAnsi="Times New Roman" w:cs="Times New Roman"/>
        </w:rPr>
        <w:t>d</w:t>
      </w:r>
      <w:r>
        <w:rPr>
          <w:rFonts w:ascii="Times New Roman" w:hAnsi="Times New Roman" w:cs="Times New Roman"/>
        </w:rPr>
        <w:t xml:space="preserve"> each year with the assumption of projected claims </w:t>
      </w:r>
      <w:proofErr w:type="gramStart"/>
      <w:r>
        <w:rPr>
          <w:rFonts w:ascii="Times New Roman" w:hAnsi="Times New Roman" w:cs="Times New Roman"/>
        </w:rPr>
        <w:t>run-out</w:t>
      </w:r>
      <w:proofErr w:type="gramEnd"/>
      <w:r>
        <w:rPr>
          <w:rFonts w:ascii="Times New Roman" w:hAnsi="Times New Roman" w:cs="Times New Roman"/>
        </w:rPr>
        <w:t xml:space="preserve"> for all current members.</w:t>
      </w:r>
    </w:p>
    <w:p w14:paraId="1C91C1BD" w14:textId="77777777" w:rsidR="00E87F92" w:rsidRDefault="00E87F92" w:rsidP="00E87F92">
      <w:pPr>
        <w:tabs>
          <w:tab w:val="left" w:pos="-1440"/>
        </w:tabs>
        <w:spacing w:after="0" w:line="276" w:lineRule="auto"/>
        <w:jc w:val="both"/>
        <w:rPr>
          <w:rFonts w:ascii="Times New Roman" w:hAnsi="Times New Roman" w:cs="Times New Roman"/>
        </w:rPr>
      </w:pPr>
    </w:p>
    <w:p w14:paraId="1EC227F0" w14:textId="77777777" w:rsidR="00E87F92" w:rsidRDefault="00E87F92" w:rsidP="00E87F92">
      <w:pPr>
        <w:tabs>
          <w:tab w:val="left" w:pos="-1440"/>
        </w:tabs>
        <w:spacing w:after="0" w:line="276" w:lineRule="auto"/>
        <w:jc w:val="both"/>
        <w:rPr>
          <w:rFonts w:ascii="Times New Roman" w:hAnsi="Times New Roman" w:cs="Times New Roman"/>
        </w:rPr>
      </w:pPr>
      <w:r>
        <w:rPr>
          <w:rFonts w:ascii="Times New Roman" w:hAnsi="Times New Roman" w:cs="Times New Roman"/>
        </w:rPr>
        <w:t xml:space="preserve">The AWC Trust HCP includes medical, dental and vision insurance through the following carriers: Kaiser Foundation Health Plan of Washington, Kaiser Foundation Health Plan of Washington Options, Inc., Regence BlueShield, </w:t>
      </w:r>
      <w:proofErr w:type="spellStart"/>
      <w:r>
        <w:rPr>
          <w:rFonts w:ascii="Times New Roman" w:hAnsi="Times New Roman" w:cs="Times New Roman"/>
        </w:rPr>
        <w:t>Asuris</w:t>
      </w:r>
      <w:proofErr w:type="spellEnd"/>
      <w:r>
        <w:rPr>
          <w:rFonts w:ascii="Times New Roman" w:hAnsi="Times New Roman" w:cs="Times New Roman"/>
        </w:rPr>
        <w:t xml:space="preserve"> Northwest Health, Delta Dental of Washington, and Vision Service Plan. Eligible members are cities and towns within the State of Washington. Non-City Entities (public agency, public corporation, intergovernmental agency, or political subdivision within the State of Washington) are eligible to apply for coverage in the AWC Trust HCP, submitting application to the Board of Trustees for review as required in the Trust Agreement.</w:t>
      </w:r>
    </w:p>
    <w:p w14:paraId="1982D61E" w14:textId="77777777" w:rsidR="00E87F92" w:rsidRDefault="00E87F92" w:rsidP="00E87F92">
      <w:pPr>
        <w:tabs>
          <w:tab w:val="left" w:pos="-1440"/>
        </w:tabs>
        <w:spacing w:after="0" w:line="276" w:lineRule="auto"/>
        <w:jc w:val="both"/>
        <w:rPr>
          <w:rFonts w:ascii="Times New Roman" w:hAnsi="Times New Roman" w:cs="Times New Roman"/>
        </w:rPr>
      </w:pPr>
    </w:p>
    <w:p w14:paraId="4B5CEBA7" w14:textId="20826465" w:rsidR="00E87F92" w:rsidRDefault="00E87F92" w:rsidP="00E87F92">
      <w:pPr>
        <w:tabs>
          <w:tab w:val="left" w:pos="-1440"/>
        </w:tabs>
        <w:spacing w:after="0" w:line="276" w:lineRule="auto"/>
        <w:jc w:val="both"/>
        <w:rPr>
          <w:rFonts w:ascii="Times New Roman" w:hAnsi="Times New Roman" w:cs="Times New Roman"/>
        </w:rPr>
      </w:pPr>
      <w:r>
        <w:rPr>
          <w:rFonts w:ascii="Times New Roman" w:hAnsi="Times New Roman" w:cs="Times New Roman"/>
        </w:rPr>
        <w:t>Participating employers pay monthly premiums to the AWC Trust HCP. The AWC Trust HCP is responsible for payment of all covered claims. In 202</w:t>
      </w:r>
      <w:r w:rsidR="00464D6A">
        <w:rPr>
          <w:rFonts w:ascii="Times New Roman" w:hAnsi="Times New Roman" w:cs="Times New Roman"/>
        </w:rPr>
        <w:t>4</w:t>
      </w:r>
      <w:r w:rsidR="008216AF">
        <w:rPr>
          <w:rFonts w:ascii="Times New Roman" w:hAnsi="Times New Roman" w:cs="Times New Roman"/>
        </w:rPr>
        <w:t xml:space="preserve"> </w:t>
      </w:r>
      <w:r>
        <w:rPr>
          <w:rFonts w:ascii="Times New Roman" w:hAnsi="Times New Roman" w:cs="Times New Roman"/>
        </w:rPr>
        <w:t xml:space="preserve">the AWC Trust HCP purchased </w:t>
      </w:r>
      <w:r w:rsidR="00B56BB4">
        <w:rPr>
          <w:rFonts w:ascii="Times New Roman" w:hAnsi="Times New Roman" w:cs="Times New Roman"/>
        </w:rPr>
        <w:t xml:space="preserve">medical </w:t>
      </w:r>
      <w:r>
        <w:rPr>
          <w:rFonts w:ascii="Times New Roman" w:hAnsi="Times New Roman" w:cs="Times New Roman"/>
        </w:rPr>
        <w:t>stop loss insurance for Regence/</w:t>
      </w:r>
      <w:proofErr w:type="spellStart"/>
      <w:r>
        <w:rPr>
          <w:rFonts w:ascii="Times New Roman" w:hAnsi="Times New Roman" w:cs="Times New Roman"/>
        </w:rPr>
        <w:t>Asuris</w:t>
      </w:r>
      <w:proofErr w:type="spellEnd"/>
      <w:r>
        <w:rPr>
          <w:rFonts w:ascii="Times New Roman" w:hAnsi="Times New Roman" w:cs="Times New Roman"/>
        </w:rPr>
        <w:t xml:space="preserve"> </w:t>
      </w:r>
      <w:r w:rsidR="00464D6A">
        <w:rPr>
          <w:rFonts w:ascii="Times New Roman" w:hAnsi="Times New Roman" w:cs="Times New Roman"/>
        </w:rPr>
        <w:t xml:space="preserve">and Kaiser </w:t>
      </w:r>
      <w:r>
        <w:rPr>
          <w:rFonts w:ascii="Times New Roman" w:hAnsi="Times New Roman" w:cs="Times New Roman"/>
        </w:rPr>
        <w:t>plans at an individual stop loss (ISL) of $</w:t>
      </w:r>
      <w:proofErr w:type="gramStart"/>
      <w:r w:rsidR="008216AF">
        <w:rPr>
          <w:rFonts w:ascii="Times New Roman" w:hAnsi="Times New Roman" w:cs="Times New Roman"/>
        </w:rPr>
        <w:t xml:space="preserve">2 </w:t>
      </w:r>
      <w:r>
        <w:rPr>
          <w:rFonts w:ascii="Times New Roman" w:hAnsi="Times New Roman" w:cs="Times New Roman"/>
        </w:rPr>
        <w:t xml:space="preserve"> million</w:t>
      </w:r>
      <w:proofErr w:type="gramEnd"/>
      <w:r>
        <w:rPr>
          <w:rFonts w:ascii="Times New Roman" w:hAnsi="Times New Roman" w:cs="Times New Roman"/>
        </w:rPr>
        <w:t xml:space="preserve"> through </w:t>
      </w:r>
      <w:proofErr w:type="gramStart"/>
      <w:r w:rsidR="00B56BB4">
        <w:rPr>
          <w:rFonts w:ascii="Times New Roman" w:hAnsi="Times New Roman" w:cs="Times New Roman"/>
        </w:rPr>
        <w:t>united States</w:t>
      </w:r>
      <w:proofErr w:type="gramEnd"/>
      <w:r w:rsidR="00B56BB4">
        <w:rPr>
          <w:rFonts w:ascii="Times New Roman" w:hAnsi="Times New Roman" w:cs="Times New Roman"/>
        </w:rPr>
        <w:t xml:space="preserve"> Fire Insurance Company</w:t>
      </w:r>
      <w:r>
        <w:rPr>
          <w:rFonts w:ascii="Times New Roman" w:hAnsi="Times New Roman" w:cs="Times New Roman"/>
        </w:rPr>
        <w:t>. The aggregate policy is for 200% of expected medical claims.</w:t>
      </w:r>
    </w:p>
    <w:p w14:paraId="46C94CB2" w14:textId="77777777" w:rsidR="00E87F92" w:rsidRDefault="00E87F92" w:rsidP="00E87F92">
      <w:pPr>
        <w:tabs>
          <w:tab w:val="left" w:pos="-1440"/>
        </w:tabs>
        <w:spacing w:after="0" w:line="276" w:lineRule="auto"/>
        <w:jc w:val="both"/>
        <w:rPr>
          <w:rFonts w:ascii="Times New Roman" w:hAnsi="Times New Roman" w:cs="Times New Roman"/>
        </w:rPr>
      </w:pPr>
    </w:p>
    <w:p w14:paraId="33901923" w14:textId="77777777" w:rsidR="00E87F92" w:rsidRDefault="00E87F92" w:rsidP="00E87F92">
      <w:pPr>
        <w:tabs>
          <w:tab w:val="left" w:pos="-1440"/>
        </w:tabs>
        <w:spacing w:after="0" w:line="276" w:lineRule="auto"/>
        <w:jc w:val="both"/>
        <w:rPr>
          <w:rFonts w:ascii="Times New Roman" w:hAnsi="Times New Roman" w:cs="Times New Roman"/>
        </w:rPr>
      </w:pPr>
      <w:r>
        <w:rPr>
          <w:rFonts w:ascii="Times New Roman" w:hAnsi="Times New Roman" w:cs="Times New Roman"/>
        </w:rPr>
        <w:t xml:space="preserve">Participating employers’ contract to remain in the AWC Trust HCP for a minimum of three years. Participating employers with over 250 employees must provide written notice of termination of all coverage a minimum of 12 months in advance of the termination date, and participating employers with under 250 employees must provide written notice of termination of all coverage a minimum of 6 months in advance of termination date. When all coverage is being terminated, termination will only occur on December 31. Participating employers terminating a group or line of coverage must notify the AWC Trust HCP a minimum of 60 days prior to termination. A participating employer’s termination will not </w:t>
      </w:r>
      <w:proofErr w:type="gramStart"/>
      <w:r>
        <w:rPr>
          <w:rFonts w:ascii="Times New Roman" w:hAnsi="Times New Roman" w:cs="Times New Roman"/>
        </w:rPr>
        <w:t>obligate</w:t>
      </w:r>
      <w:proofErr w:type="gramEnd"/>
      <w:r>
        <w:rPr>
          <w:rFonts w:ascii="Times New Roman" w:hAnsi="Times New Roman" w:cs="Times New Roman"/>
        </w:rPr>
        <w:t xml:space="preserve"> the member to past debts, or further contributions to the AWC Trust HCP. Similarly, the terminating member forfeits all rights and interest to the AWC Trust HCP account.</w:t>
      </w:r>
    </w:p>
    <w:p w14:paraId="3A2130B4" w14:textId="77777777" w:rsidR="00E87F92" w:rsidRDefault="00E87F92" w:rsidP="00E87F92">
      <w:pPr>
        <w:tabs>
          <w:tab w:val="left" w:pos="-1440"/>
        </w:tabs>
        <w:spacing w:after="0" w:line="276" w:lineRule="auto"/>
        <w:jc w:val="both"/>
        <w:rPr>
          <w:rFonts w:ascii="Times New Roman" w:hAnsi="Times New Roman" w:cs="Times New Roman"/>
        </w:rPr>
      </w:pPr>
    </w:p>
    <w:p w14:paraId="26562CD4" w14:textId="77777777" w:rsidR="00E87F92" w:rsidRDefault="00E87F92" w:rsidP="00E87F92">
      <w:pPr>
        <w:tabs>
          <w:tab w:val="left" w:pos="-1440"/>
        </w:tabs>
        <w:spacing w:after="0" w:line="276" w:lineRule="auto"/>
        <w:jc w:val="both"/>
        <w:rPr>
          <w:rFonts w:ascii="Times New Roman" w:hAnsi="Times New Roman" w:cs="Times New Roman"/>
        </w:rPr>
      </w:pPr>
      <w:r>
        <w:rPr>
          <w:rFonts w:ascii="Times New Roman" w:hAnsi="Times New Roman" w:cs="Times New Roman"/>
        </w:rPr>
        <w:t xml:space="preserve">The operations of the Health Care Program are managed by the Board of Trustees or its delegates. The Board of Trustees is comprised of four regionally elected officials from Trust member cities or towns, the Employee Benefit Advisory Committee Chair and Vice Chair, and two appointed individuals from the AWC Board of Directors who are from Trust member cities or towns. The Trustees or its appointed delegates review and analyze Health Care Program related matters and make operational decisions regarding premium contributions, reserves, plan options and benefits in compliance with Chapter 48.62 </w:t>
      </w:r>
      <w:r>
        <w:rPr>
          <w:rFonts w:ascii="Times New Roman" w:hAnsi="Times New Roman" w:cs="Times New Roman"/>
        </w:rPr>
        <w:lastRenderedPageBreak/>
        <w:t>RCW. The Board of Trustees has decision authority consistent with the Trust Agreement, Health Care Program policies, Chapter 48.62 RCW and Chapter 200-110-WAC.</w:t>
      </w:r>
    </w:p>
    <w:p w14:paraId="530286C6" w14:textId="77777777" w:rsidR="00E87F92" w:rsidRDefault="00E87F92" w:rsidP="00E87F92">
      <w:pPr>
        <w:tabs>
          <w:tab w:val="left" w:pos="-1440"/>
        </w:tabs>
        <w:spacing w:after="0" w:line="276" w:lineRule="auto"/>
        <w:jc w:val="both"/>
        <w:rPr>
          <w:rFonts w:ascii="Times New Roman" w:hAnsi="Times New Roman" w:cs="Times New Roman"/>
        </w:rPr>
      </w:pPr>
    </w:p>
    <w:p w14:paraId="22F937E4" w14:textId="77777777" w:rsidR="00E87F92" w:rsidRPr="006B0D3C" w:rsidRDefault="00E87F92" w:rsidP="00E87F92">
      <w:pPr>
        <w:tabs>
          <w:tab w:val="left" w:pos="-1440"/>
        </w:tabs>
        <w:spacing w:after="0" w:line="276" w:lineRule="auto"/>
        <w:jc w:val="both"/>
        <w:rPr>
          <w:rFonts w:ascii="Times New Roman" w:hAnsi="Times New Roman" w:cs="Times New Roman"/>
        </w:rPr>
      </w:pPr>
      <w:r>
        <w:rPr>
          <w:rFonts w:ascii="Times New Roman" w:hAnsi="Times New Roman" w:cs="Times New Roman"/>
        </w:rPr>
        <w:t>The accounting records of the AWC Trust HCP are maintained in accordance with methods prescribed by the State Auditor’s Office under the authority of Chapter 43.09 RCW. The AWC Trust HCP also follows applicable accounting standards established by the Governmental Accounting Standards Board (“GASB”). In 2018, the retiree medical plan subsidy was eliminated, and is noted as such in the report for the fiscal year ending December 31, 2018. Year-end financial reporting is done on an accrual basis and submitted to the Office of the State Auditor as required by Chapter 200-110 WAC. The audit report for the AWC Trust HCP is available from the Washington State Auditor’s office.</w:t>
      </w:r>
    </w:p>
    <w:p w14:paraId="613298B4" w14:textId="77777777" w:rsidR="007E17FD" w:rsidRDefault="007E17FD" w:rsidP="007E17FD">
      <w:pPr>
        <w:spacing w:after="0" w:line="240" w:lineRule="auto"/>
        <w:jc w:val="both"/>
        <w:rPr>
          <w:rFonts w:ascii="Cambria" w:hAnsi="Cambria" w:cstheme="minorHAnsi"/>
          <w:b/>
          <w:bCs/>
        </w:rPr>
      </w:pPr>
    </w:p>
    <w:p w14:paraId="3E7BC754" w14:textId="1929C80C" w:rsidR="007E17FD" w:rsidRPr="00517356" w:rsidRDefault="007E17FD" w:rsidP="007E17FD">
      <w:pPr>
        <w:spacing w:after="0" w:line="240" w:lineRule="auto"/>
        <w:jc w:val="both"/>
        <w:rPr>
          <w:rFonts w:ascii="Cambria" w:hAnsi="Cambria" w:cstheme="minorHAnsi"/>
        </w:rPr>
      </w:pPr>
      <w:r w:rsidRPr="00517356">
        <w:rPr>
          <w:rFonts w:ascii="Cambria" w:hAnsi="Cambria" w:cstheme="minorHAnsi"/>
          <w:b/>
          <w:bCs/>
        </w:rPr>
        <w:t xml:space="preserve">Note </w:t>
      </w:r>
      <w:r w:rsidR="00427E9D">
        <w:rPr>
          <w:rFonts w:ascii="Cambria" w:hAnsi="Cambria" w:cstheme="minorHAnsi"/>
          <w:b/>
          <w:bCs/>
        </w:rPr>
        <w:t>1</w:t>
      </w:r>
      <w:r w:rsidR="008216AF">
        <w:rPr>
          <w:rFonts w:ascii="Cambria" w:hAnsi="Cambria" w:cstheme="minorHAnsi"/>
          <w:b/>
          <w:bCs/>
        </w:rPr>
        <w:t>0</w:t>
      </w:r>
      <w:r w:rsidRPr="00517356">
        <w:rPr>
          <w:rFonts w:ascii="Cambria" w:hAnsi="Cambria" w:cstheme="minorHAnsi"/>
          <w:b/>
          <w:bCs/>
        </w:rPr>
        <w:t xml:space="preserve"> – Other Disclosures</w:t>
      </w:r>
    </w:p>
    <w:p w14:paraId="2158A9A3" w14:textId="6602AB66" w:rsidR="00517356" w:rsidRDefault="00517356" w:rsidP="00646E37">
      <w:pPr>
        <w:spacing w:after="0" w:line="240" w:lineRule="auto"/>
        <w:jc w:val="both"/>
        <w:rPr>
          <w:rFonts w:ascii="Cambria" w:hAnsi="Cambria" w:cstheme="minorHAnsi"/>
        </w:rPr>
      </w:pPr>
    </w:p>
    <w:p w14:paraId="5FDC2CCD" w14:textId="77777777" w:rsidR="00427E9D" w:rsidRDefault="00427E9D" w:rsidP="00427E9D">
      <w:pPr>
        <w:tabs>
          <w:tab w:val="left" w:pos="-1440"/>
        </w:tabs>
        <w:spacing w:after="0" w:line="276" w:lineRule="auto"/>
        <w:jc w:val="both"/>
        <w:rPr>
          <w:rFonts w:ascii="Times New Roman" w:hAnsi="Times New Roman" w:cs="Times New Roman"/>
          <w:iCs/>
          <w:u w:val="single"/>
        </w:rPr>
      </w:pPr>
      <w:r>
        <w:rPr>
          <w:rFonts w:ascii="Times New Roman" w:hAnsi="Times New Roman" w:cs="Times New Roman"/>
          <w:iCs/>
          <w:u w:val="single"/>
        </w:rPr>
        <w:t>Contingencies and Litigations:</w:t>
      </w:r>
    </w:p>
    <w:p w14:paraId="1CAFAD2F" w14:textId="77777777" w:rsidR="00427E9D" w:rsidRDefault="00427E9D" w:rsidP="00427E9D">
      <w:pPr>
        <w:tabs>
          <w:tab w:val="left" w:pos="-1440"/>
        </w:tabs>
        <w:spacing w:after="0" w:line="276" w:lineRule="auto"/>
        <w:jc w:val="both"/>
        <w:rPr>
          <w:rFonts w:ascii="Times New Roman" w:hAnsi="Times New Roman" w:cs="Times New Roman"/>
          <w:iCs/>
          <w:u w:val="single"/>
        </w:rPr>
      </w:pPr>
    </w:p>
    <w:p w14:paraId="1A93AF74" w14:textId="7F467156" w:rsidR="00427E9D" w:rsidRPr="003F529C" w:rsidRDefault="00427E9D" w:rsidP="00427E9D">
      <w:pPr>
        <w:tabs>
          <w:tab w:val="left" w:pos="-1440"/>
        </w:tabs>
        <w:spacing w:after="0" w:line="276" w:lineRule="auto"/>
        <w:jc w:val="both"/>
        <w:rPr>
          <w:rFonts w:ascii="Times New Roman" w:hAnsi="Times New Roman" w:cs="Times New Roman"/>
          <w:iCs/>
        </w:rPr>
      </w:pPr>
      <w:r w:rsidRPr="003F529C">
        <w:rPr>
          <w:rFonts w:ascii="Times New Roman" w:hAnsi="Times New Roman" w:cs="Times New Roman"/>
          <w:iCs/>
        </w:rPr>
        <w:t xml:space="preserve">On June 13, 2019, the city roadway was damaged </w:t>
      </w:r>
      <w:r w:rsidR="00F61518">
        <w:rPr>
          <w:rFonts w:ascii="Times New Roman" w:hAnsi="Times New Roman" w:cs="Times New Roman"/>
          <w:iCs/>
        </w:rPr>
        <w:t>from</w:t>
      </w:r>
      <w:r w:rsidRPr="003F529C">
        <w:rPr>
          <w:rFonts w:ascii="Times New Roman" w:hAnsi="Times New Roman" w:cs="Times New Roman"/>
          <w:iCs/>
        </w:rPr>
        <w:t xml:space="preserve"> a hay fire from a vehicle hauling hay on a flat trailer. Second Avenue NE sustained damage over a total area of 11,646 square feet. The damage included substantially burned asphalt binder with several locations showing signs of raveling and rapid degradation. The city filed a claim </w:t>
      </w:r>
      <w:proofErr w:type="gramStart"/>
      <w:r w:rsidRPr="003F529C">
        <w:rPr>
          <w:rFonts w:ascii="Times New Roman" w:hAnsi="Times New Roman" w:cs="Times New Roman"/>
          <w:iCs/>
        </w:rPr>
        <w:t>to</w:t>
      </w:r>
      <w:proofErr w:type="gramEnd"/>
      <w:r w:rsidRPr="003F529C">
        <w:rPr>
          <w:rFonts w:ascii="Times New Roman" w:hAnsi="Times New Roman" w:cs="Times New Roman"/>
          <w:iCs/>
        </w:rPr>
        <w:t xml:space="preserve"> our insurance Cities Insurance Association of Washington also known as Choose Clear Risk Solutions. The damage sustained to the city’s streets was not covered by the city’s insurance.  The city declared the damage an emergency to repair the roadway before the coming winter resulted in additional damage. The first phase to repair the roadway asphalt cost $53,277. </w:t>
      </w:r>
    </w:p>
    <w:p w14:paraId="2EBEC4A4" w14:textId="77777777" w:rsidR="00427E9D" w:rsidRPr="003F529C" w:rsidRDefault="00427E9D" w:rsidP="00427E9D">
      <w:pPr>
        <w:tabs>
          <w:tab w:val="left" w:pos="-1440"/>
        </w:tabs>
        <w:spacing w:after="0" w:line="276" w:lineRule="auto"/>
        <w:jc w:val="both"/>
        <w:rPr>
          <w:rFonts w:ascii="Times New Roman" w:hAnsi="Times New Roman" w:cs="Times New Roman"/>
          <w:iCs/>
        </w:rPr>
      </w:pPr>
    </w:p>
    <w:p w14:paraId="678A96B3" w14:textId="77777777" w:rsidR="00427E9D" w:rsidRPr="003F529C" w:rsidRDefault="00427E9D" w:rsidP="00427E9D">
      <w:pPr>
        <w:tabs>
          <w:tab w:val="left" w:pos="-1440"/>
        </w:tabs>
        <w:spacing w:after="0" w:line="276" w:lineRule="auto"/>
        <w:jc w:val="both"/>
        <w:rPr>
          <w:rFonts w:ascii="Times New Roman" w:hAnsi="Times New Roman" w:cs="Times New Roman"/>
          <w:iCs/>
        </w:rPr>
      </w:pPr>
      <w:r w:rsidRPr="003F529C">
        <w:rPr>
          <w:rFonts w:ascii="Times New Roman" w:hAnsi="Times New Roman" w:cs="Times New Roman"/>
          <w:iCs/>
        </w:rPr>
        <w:t xml:space="preserve">A second phase to repair the roadway back to its original state prior to the hay fire is an additional estimate of $20,119. The owner of the vehicle transporting the hay on city streets </w:t>
      </w:r>
      <w:proofErr w:type="gramStart"/>
      <w:r w:rsidRPr="003F529C">
        <w:rPr>
          <w:rFonts w:ascii="Times New Roman" w:hAnsi="Times New Roman" w:cs="Times New Roman"/>
          <w:iCs/>
        </w:rPr>
        <w:t>have</w:t>
      </w:r>
      <w:proofErr w:type="gramEnd"/>
      <w:r w:rsidRPr="003F529C">
        <w:rPr>
          <w:rFonts w:ascii="Times New Roman" w:hAnsi="Times New Roman" w:cs="Times New Roman"/>
          <w:iCs/>
        </w:rPr>
        <w:t xml:space="preserve"> been invoiced by the city to try to recoup the costs of the damage to the city’s </w:t>
      </w:r>
      <w:proofErr w:type="gramStart"/>
      <w:r w:rsidRPr="003F529C">
        <w:rPr>
          <w:rFonts w:ascii="Times New Roman" w:hAnsi="Times New Roman" w:cs="Times New Roman"/>
          <w:iCs/>
        </w:rPr>
        <w:t>street</w:t>
      </w:r>
      <w:proofErr w:type="gramEnd"/>
      <w:r w:rsidRPr="003F529C">
        <w:rPr>
          <w:rFonts w:ascii="Times New Roman" w:hAnsi="Times New Roman" w:cs="Times New Roman"/>
          <w:iCs/>
        </w:rPr>
        <w:t>.</w:t>
      </w:r>
    </w:p>
    <w:p w14:paraId="4AC44A09" w14:textId="77777777" w:rsidR="00427E9D" w:rsidRPr="003F529C" w:rsidRDefault="00427E9D" w:rsidP="00427E9D">
      <w:pPr>
        <w:tabs>
          <w:tab w:val="left" w:pos="-1440"/>
        </w:tabs>
        <w:spacing w:after="0" w:line="276" w:lineRule="auto"/>
        <w:jc w:val="both"/>
        <w:rPr>
          <w:rFonts w:ascii="Times New Roman" w:hAnsi="Times New Roman" w:cs="Times New Roman"/>
          <w:iCs/>
        </w:rPr>
      </w:pPr>
    </w:p>
    <w:p w14:paraId="67592285" w14:textId="7089DECF" w:rsidR="00427E9D" w:rsidRDefault="00427E9D" w:rsidP="00427E9D">
      <w:pPr>
        <w:tabs>
          <w:tab w:val="left" w:pos="-1440"/>
        </w:tabs>
        <w:spacing w:after="0" w:line="276" w:lineRule="auto"/>
        <w:jc w:val="both"/>
        <w:rPr>
          <w:rFonts w:ascii="Times New Roman" w:hAnsi="Times New Roman" w:cs="Times New Roman"/>
          <w:iCs/>
        </w:rPr>
      </w:pPr>
      <w:r w:rsidRPr="003F529C">
        <w:rPr>
          <w:rFonts w:ascii="Times New Roman" w:hAnsi="Times New Roman" w:cs="Times New Roman"/>
          <w:iCs/>
        </w:rPr>
        <w:t>The total damage to Second Ave NE caused by the hay fire is $73,397.</w:t>
      </w:r>
      <w:r>
        <w:rPr>
          <w:rFonts w:ascii="Times New Roman" w:hAnsi="Times New Roman" w:cs="Times New Roman"/>
          <w:iCs/>
        </w:rPr>
        <w:t xml:space="preserve"> The city entered litigation with the driver of the trailer hauling the hay. As of the date of this report, the city </w:t>
      </w:r>
      <w:r w:rsidR="00464D6A">
        <w:rPr>
          <w:rFonts w:ascii="Times New Roman" w:hAnsi="Times New Roman" w:cs="Times New Roman"/>
          <w:iCs/>
        </w:rPr>
        <w:t>went to mitigation and the other party was not found liable.  The city i</w:t>
      </w:r>
      <w:r>
        <w:rPr>
          <w:rFonts w:ascii="Times New Roman" w:hAnsi="Times New Roman" w:cs="Times New Roman"/>
          <w:iCs/>
        </w:rPr>
        <w:t xml:space="preserve">s currently </w:t>
      </w:r>
      <w:r w:rsidR="00C972DA">
        <w:rPr>
          <w:rFonts w:ascii="Times New Roman" w:hAnsi="Times New Roman" w:cs="Times New Roman"/>
          <w:iCs/>
        </w:rPr>
        <w:t xml:space="preserve">in process </w:t>
      </w:r>
      <w:r w:rsidR="00A345F2">
        <w:rPr>
          <w:rFonts w:ascii="Times New Roman" w:hAnsi="Times New Roman" w:cs="Times New Roman"/>
          <w:iCs/>
        </w:rPr>
        <w:t xml:space="preserve">of </w:t>
      </w:r>
      <w:r w:rsidR="00464D6A">
        <w:rPr>
          <w:rFonts w:ascii="Times New Roman" w:hAnsi="Times New Roman" w:cs="Times New Roman"/>
          <w:iCs/>
        </w:rPr>
        <w:t xml:space="preserve">requesting a trial </w:t>
      </w:r>
      <w:proofErr w:type="spellStart"/>
      <w:r w:rsidR="00464D6A">
        <w:rPr>
          <w:rFonts w:ascii="Times New Roman" w:hAnsi="Times New Roman" w:cs="Times New Roman"/>
          <w:iCs/>
        </w:rPr>
        <w:t>denovo</w:t>
      </w:r>
      <w:proofErr w:type="spellEnd"/>
      <w:r>
        <w:rPr>
          <w:rFonts w:ascii="Times New Roman" w:hAnsi="Times New Roman" w:cs="Times New Roman"/>
          <w:iCs/>
        </w:rPr>
        <w:t>.</w:t>
      </w:r>
    </w:p>
    <w:p w14:paraId="618E2DB1" w14:textId="77777777" w:rsidR="00427E9D" w:rsidRDefault="00427E9D" w:rsidP="00427E9D">
      <w:pPr>
        <w:tabs>
          <w:tab w:val="left" w:pos="-1440"/>
        </w:tabs>
        <w:spacing w:after="0" w:line="276" w:lineRule="auto"/>
        <w:jc w:val="both"/>
        <w:rPr>
          <w:rFonts w:ascii="Times New Roman" w:hAnsi="Times New Roman" w:cs="Times New Roman"/>
          <w:iCs/>
        </w:rPr>
      </w:pPr>
    </w:p>
    <w:p w14:paraId="2BC27093" w14:textId="4571ED66" w:rsidR="000D503C" w:rsidRDefault="00C97064" w:rsidP="00BF3444">
      <w:pPr>
        <w:tabs>
          <w:tab w:val="left" w:pos="-1440"/>
        </w:tabs>
        <w:spacing w:after="0" w:line="276" w:lineRule="auto"/>
        <w:jc w:val="both"/>
        <w:rPr>
          <w:rFonts w:ascii="Times New Roman" w:hAnsi="Times New Roman" w:cs="Times New Roman"/>
          <w:iCs/>
        </w:rPr>
      </w:pPr>
      <w:r w:rsidRPr="00C97064">
        <w:rPr>
          <w:rFonts w:ascii="Times New Roman" w:hAnsi="Times New Roman" w:cs="Times New Roman"/>
          <w:iCs/>
        </w:rPr>
        <w:t xml:space="preserve">On March 12, </w:t>
      </w:r>
      <w:proofErr w:type="gramStart"/>
      <w:r w:rsidRPr="00C97064">
        <w:rPr>
          <w:rFonts w:ascii="Times New Roman" w:hAnsi="Times New Roman" w:cs="Times New Roman"/>
          <w:iCs/>
        </w:rPr>
        <w:t>2023</w:t>
      </w:r>
      <w:proofErr w:type="gramEnd"/>
      <w:r w:rsidR="000D503C" w:rsidRPr="00C97064">
        <w:rPr>
          <w:rFonts w:ascii="Times New Roman" w:hAnsi="Times New Roman" w:cs="Times New Roman"/>
          <w:iCs/>
        </w:rPr>
        <w:t xml:space="preserve"> a traffic accident caused damage to</w:t>
      </w:r>
      <w:r w:rsidRPr="00C97064">
        <w:rPr>
          <w:rFonts w:ascii="Times New Roman" w:hAnsi="Times New Roman" w:cs="Times New Roman"/>
          <w:iCs/>
        </w:rPr>
        <w:t xml:space="preserve"> a city light pole, Claim # C2430</w:t>
      </w:r>
      <w:r w:rsidR="000D503C">
        <w:rPr>
          <w:rFonts w:ascii="Times New Roman" w:hAnsi="Times New Roman" w:cs="Times New Roman"/>
          <w:iCs/>
        </w:rPr>
        <w:t>. The total cost of damage was over $1</w:t>
      </w:r>
      <w:r>
        <w:rPr>
          <w:rFonts w:ascii="Times New Roman" w:hAnsi="Times New Roman" w:cs="Times New Roman"/>
          <w:iCs/>
        </w:rPr>
        <w:t>6</w:t>
      </w:r>
      <w:r w:rsidR="000D503C">
        <w:rPr>
          <w:rFonts w:ascii="Times New Roman" w:hAnsi="Times New Roman" w:cs="Times New Roman"/>
          <w:iCs/>
        </w:rPr>
        <w:t xml:space="preserve">,000. A claim was turned into the city’s insurance Choose Clear, which was denied due to no coverage on the lights. The city is pursuing recovery of financial damages with </w:t>
      </w:r>
      <w:proofErr w:type="gramStart"/>
      <w:r w:rsidR="000D503C">
        <w:rPr>
          <w:rFonts w:ascii="Times New Roman" w:hAnsi="Times New Roman" w:cs="Times New Roman"/>
          <w:iCs/>
        </w:rPr>
        <w:t>the assistance</w:t>
      </w:r>
      <w:proofErr w:type="gramEnd"/>
      <w:r w:rsidR="000D503C">
        <w:rPr>
          <w:rFonts w:ascii="Times New Roman" w:hAnsi="Times New Roman" w:cs="Times New Roman"/>
          <w:iCs/>
        </w:rPr>
        <w:t xml:space="preserve"> from the claim manager</w:t>
      </w:r>
      <w:r>
        <w:rPr>
          <w:rFonts w:ascii="Times New Roman" w:hAnsi="Times New Roman" w:cs="Times New Roman"/>
          <w:iCs/>
        </w:rPr>
        <w:t xml:space="preserve"> which the city has recovered $600</w:t>
      </w:r>
      <w:r w:rsidR="000D503C">
        <w:rPr>
          <w:rFonts w:ascii="Times New Roman" w:hAnsi="Times New Roman" w:cs="Times New Roman"/>
          <w:iCs/>
        </w:rPr>
        <w:t xml:space="preserve">. At this </w:t>
      </w:r>
      <w:r w:rsidR="00E732B3">
        <w:rPr>
          <w:rFonts w:ascii="Times New Roman" w:hAnsi="Times New Roman" w:cs="Times New Roman"/>
          <w:iCs/>
        </w:rPr>
        <w:t>time,</w:t>
      </w:r>
      <w:r w:rsidR="000D503C">
        <w:rPr>
          <w:rFonts w:ascii="Times New Roman" w:hAnsi="Times New Roman" w:cs="Times New Roman"/>
          <w:iCs/>
        </w:rPr>
        <w:t xml:space="preserve"> </w:t>
      </w:r>
      <w:r>
        <w:rPr>
          <w:rFonts w:ascii="Times New Roman" w:hAnsi="Times New Roman" w:cs="Times New Roman"/>
          <w:iCs/>
        </w:rPr>
        <w:t>there have been no further payments made,</w:t>
      </w:r>
      <w:r w:rsidR="000D503C">
        <w:rPr>
          <w:rFonts w:ascii="Times New Roman" w:hAnsi="Times New Roman" w:cs="Times New Roman"/>
          <w:iCs/>
        </w:rPr>
        <w:t xml:space="preserve"> the event could result in legal litigation.</w:t>
      </w:r>
    </w:p>
    <w:p w14:paraId="1B398A62" w14:textId="097E94AB" w:rsidR="000D503C" w:rsidRDefault="000D503C" w:rsidP="00BF3444">
      <w:pPr>
        <w:tabs>
          <w:tab w:val="left" w:pos="-1440"/>
        </w:tabs>
        <w:spacing w:after="0" w:line="276" w:lineRule="auto"/>
        <w:jc w:val="both"/>
        <w:rPr>
          <w:rFonts w:ascii="Times New Roman" w:hAnsi="Times New Roman" w:cs="Times New Roman"/>
          <w:iCs/>
        </w:rPr>
      </w:pPr>
    </w:p>
    <w:p w14:paraId="581A0709" w14:textId="2587BA5B" w:rsidR="000D503C" w:rsidRDefault="000D503C" w:rsidP="00BF3444">
      <w:pPr>
        <w:tabs>
          <w:tab w:val="left" w:pos="-1440"/>
        </w:tabs>
        <w:spacing w:after="0" w:line="276" w:lineRule="auto"/>
        <w:jc w:val="both"/>
        <w:rPr>
          <w:rFonts w:ascii="Times New Roman" w:hAnsi="Times New Roman" w:cs="Times New Roman"/>
          <w:iCs/>
        </w:rPr>
      </w:pPr>
      <w:r>
        <w:rPr>
          <w:rFonts w:ascii="Times New Roman" w:hAnsi="Times New Roman" w:cs="Times New Roman"/>
          <w:iCs/>
        </w:rPr>
        <w:t xml:space="preserve">There </w:t>
      </w:r>
      <w:r w:rsidR="00E732B3">
        <w:rPr>
          <w:rFonts w:ascii="Times New Roman" w:hAnsi="Times New Roman" w:cs="Times New Roman"/>
          <w:iCs/>
        </w:rPr>
        <w:t>is</w:t>
      </w:r>
      <w:r>
        <w:rPr>
          <w:rFonts w:ascii="Times New Roman" w:hAnsi="Times New Roman" w:cs="Times New Roman"/>
          <w:iCs/>
        </w:rPr>
        <w:t xml:space="preserve"> no other potent</w:t>
      </w:r>
      <w:r w:rsidR="00E732B3">
        <w:rPr>
          <w:rFonts w:ascii="Times New Roman" w:hAnsi="Times New Roman" w:cs="Times New Roman"/>
          <w:iCs/>
        </w:rPr>
        <w:t>i</w:t>
      </w:r>
      <w:r>
        <w:rPr>
          <w:rFonts w:ascii="Times New Roman" w:hAnsi="Times New Roman" w:cs="Times New Roman"/>
          <w:iCs/>
        </w:rPr>
        <w:t xml:space="preserve">al litigation that the city or City Attorney is aware of </w:t>
      </w:r>
      <w:r w:rsidR="00E732B3">
        <w:rPr>
          <w:rFonts w:ascii="Times New Roman" w:hAnsi="Times New Roman" w:cs="Times New Roman"/>
          <w:iCs/>
        </w:rPr>
        <w:t>currently</w:t>
      </w:r>
      <w:r>
        <w:rPr>
          <w:rFonts w:ascii="Times New Roman" w:hAnsi="Times New Roman" w:cs="Times New Roman"/>
          <w:iCs/>
        </w:rPr>
        <w:t>.</w:t>
      </w:r>
    </w:p>
    <w:p w14:paraId="38D7CFD4" w14:textId="4A4CD5E7" w:rsidR="0062187C" w:rsidRDefault="0062187C" w:rsidP="00BF3444">
      <w:pPr>
        <w:tabs>
          <w:tab w:val="left" w:pos="-1440"/>
        </w:tabs>
        <w:spacing w:after="0" w:line="276" w:lineRule="auto"/>
        <w:jc w:val="both"/>
        <w:rPr>
          <w:rFonts w:ascii="Times New Roman" w:hAnsi="Times New Roman" w:cs="Times New Roman"/>
          <w:iCs/>
        </w:rPr>
      </w:pPr>
    </w:p>
    <w:p w14:paraId="0C53B122" w14:textId="77777777" w:rsidR="007021DB" w:rsidRPr="00A866B8" w:rsidRDefault="007021DB" w:rsidP="007021DB">
      <w:pPr>
        <w:tabs>
          <w:tab w:val="left" w:pos="-1440"/>
        </w:tabs>
        <w:spacing w:after="0" w:line="276" w:lineRule="auto"/>
        <w:jc w:val="both"/>
        <w:rPr>
          <w:rFonts w:ascii="Times New Roman" w:hAnsi="Times New Roman" w:cs="Times New Roman"/>
          <w:b/>
          <w:bCs/>
          <w:iCs/>
          <w:u w:val="single"/>
        </w:rPr>
      </w:pPr>
      <w:r w:rsidRPr="00A866B8">
        <w:rPr>
          <w:rFonts w:ascii="Times New Roman" w:hAnsi="Times New Roman" w:cs="Times New Roman"/>
          <w:b/>
          <w:bCs/>
          <w:iCs/>
          <w:u w:val="single"/>
        </w:rPr>
        <w:t>Subsequent Events:</w:t>
      </w:r>
    </w:p>
    <w:p w14:paraId="01BF1DB4" w14:textId="77777777" w:rsidR="007021DB" w:rsidRDefault="007021DB" w:rsidP="007021DB">
      <w:pPr>
        <w:tabs>
          <w:tab w:val="left" w:pos="-1440"/>
        </w:tabs>
        <w:spacing w:after="0" w:line="276" w:lineRule="auto"/>
        <w:jc w:val="both"/>
        <w:rPr>
          <w:rFonts w:ascii="Times New Roman" w:hAnsi="Times New Roman" w:cs="Times New Roman"/>
          <w:iCs/>
        </w:rPr>
      </w:pPr>
    </w:p>
    <w:p w14:paraId="1BE32649" w14:textId="73AEC773" w:rsidR="007021DB" w:rsidRDefault="007021DB" w:rsidP="007021DB">
      <w:pPr>
        <w:tabs>
          <w:tab w:val="left" w:pos="-1440"/>
        </w:tabs>
        <w:spacing w:after="0" w:line="276" w:lineRule="auto"/>
        <w:jc w:val="both"/>
        <w:rPr>
          <w:rFonts w:ascii="Times New Roman" w:hAnsi="Times New Roman" w:cs="Times New Roman"/>
          <w:iCs/>
        </w:rPr>
      </w:pPr>
      <w:r w:rsidRPr="002B336D">
        <w:rPr>
          <w:rFonts w:ascii="Times New Roman" w:hAnsi="Times New Roman" w:cs="Times New Roman"/>
          <w:iCs/>
        </w:rPr>
        <w:t>The city had reimbursed several</w:t>
      </w:r>
      <w:r w:rsidR="0062187C" w:rsidRPr="002B336D">
        <w:rPr>
          <w:rFonts w:ascii="Times New Roman" w:hAnsi="Times New Roman" w:cs="Times New Roman"/>
          <w:iCs/>
        </w:rPr>
        <w:t xml:space="preserve"> utility </w:t>
      </w:r>
      <w:r w:rsidRPr="002B336D">
        <w:rPr>
          <w:rFonts w:ascii="Times New Roman" w:hAnsi="Times New Roman" w:cs="Times New Roman"/>
          <w:iCs/>
        </w:rPr>
        <w:t xml:space="preserve">accounts with a credit balance resulting from </w:t>
      </w:r>
      <w:proofErr w:type="gramStart"/>
      <w:r w:rsidRPr="002B336D">
        <w:rPr>
          <w:rFonts w:ascii="Times New Roman" w:hAnsi="Times New Roman" w:cs="Times New Roman"/>
          <w:iCs/>
        </w:rPr>
        <w:t>overestimate</w:t>
      </w:r>
      <w:proofErr w:type="gramEnd"/>
      <w:r w:rsidRPr="002B336D">
        <w:rPr>
          <w:rFonts w:ascii="Times New Roman" w:hAnsi="Times New Roman" w:cs="Times New Roman"/>
          <w:iCs/>
        </w:rPr>
        <w:t xml:space="preserve"> of escrow, double </w:t>
      </w:r>
      <w:r w:rsidR="00E732B3" w:rsidRPr="002B336D">
        <w:rPr>
          <w:rFonts w:ascii="Times New Roman" w:hAnsi="Times New Roman" w:cs="Times New Roman"/>
          <w:iCs/>
        </w:rPr>
        <w:t>payments,</w:t>
      </w:r>
      <w:r w:rsidRPr="002B336D">
        <w:rPr>
          <w:rFonts w:ascii="Times New Roman" w:hAnsi="Times New Roman" w:cs="Times New Roman"/>
          <w:iCs/>
        </w:rPr>
        <w:t xml:space="preserve"> or overpayments.</w:t>
      </w:r>
      <w:r w:rsidR="002B336D" w:rsidRPr="002B336D">
        <w:rPr>
          <w:rFonts w:ascii="Times New Roman" w:hAnsi="Times New Roman" w:cs="Times New Roman"/>
          <w:iCs/>
        </w:rPr>
        <w:t xml:space="preserve"> </w:t>
      </w:r>
    </w:p>
    <w:p w14:paraId="53319FC1" w14:textId="31CA8522" w:rsidR="008848B0" w:rsidRDefault="008848B0" w:rsidP="007021DB">
      <w:pPr>
        <w:tabs>
          <w:tab w:val="left" w:pos="-1440"/>
        </w:tabs>
        <w:spacing w:after="0" w:line="276" w:lineRule="auto"/>
        <w:jc w:val="both"/>
        <w:rPr>
          <w:rFonts w:ascii="Times New Roman" w:hAnsi="Times New Roman" w:cs="Times New Roman"/>
          <w:iCs/>
        </w:rPr>
      </w:pPr>
    </w:p>
    <w:p w14:paraId="416230E9" w14:textId="403B9A5A" w:rsidR="008848B0" w:rsidRDefault="008848B0" w:rsidP="007021DB">
      <w:pPr>
        <w:tabs>
          <w:tab w:val="left" w:pos="-1440"/>
        </w:tabs>
        <w:spacing w:after="0" w:line="276" w:lineRule="auto"/>
        <w:jc w:val="both"/>
        <w:rPr>
          <w:rFonts w:ascii="Times New Roman" w:hAnsi="Times New Roman" w:cs="Times New Roman"/>
          <w:iCs/>
        </w:rPr>
      </w:pPr>
      <w:r>
        <w:rPr>
          <w:rFonts w:ascii="Times New Roman" w:hAnsi="Times New Roman" w:cs="Times New Roman"/>
          <w:iCs/>
        </w:rPr>
        <w:lastRenderedPageBreak/>
        <w:t>The City of Napavine and Hamilton Walnut Shade LLC had an agreement referring to the Rush Rd LID 2011-1 Bond Redemption. The ARC Agreement had several parcels that were classified as agricultural land that Hamilton Walnut Shade LLC had paid the annual assessment. Once the parcels that were part of this agreement were sold, the assessment was to be paid in full including the assessment that was previously paid by Hamilton Walnut Shade LLC</w:t>
      </w:r>
      <w:r w:rsidR="00D859F3">
        <w:rPr>
          <w:rFonts w:ascii="Times New Roman" w:hAnsi="Times New Roman" w:cs="Times New Roman"/>
          <w:iCs/>
        </w:rPr>
        <w:t xml:space="preserve"> including interest. The parcels were sold at the end of 2020 and during 202</w:t>
      </w:r>
      <w:r w:rsidR="00464D6A">
        <w:rPr>
          <w:rFonts w:ascii="Times New Roman" w:hAnsi="Times New Roman" w:cs="Times New Roman"/>
          <w:iCs/>
        </w:rPr>
        <w:t>4</w:t>
      </w:r>
      <w:r w:rsidR="00D859F3">
        <w:rPr>
          <w:rFonts w:ascii="Times New Roman" w:hAnsi="Times New Roman" w:cs="Times New Roman"/>
          <w:iCs/>
        </w:rPr>
        <w:t xml:space="preserve">, </w:t>
      </w:r>
      <w:r w:rsidR="004719DB">
        <w:rPr>
          <w:rFonts w:ascii="Times New Roman" w:hAnsi="Times New Roman" w:cs="Times New Roman"/>
          <w:iCs/>
        </w:rPr>
        <w:t>no reimbursements were made</w:t>
      </w:r>
      <w:r w:rsidR="00D859F3">
        <w:rPr>
          <w:rFonts w:ascii="Times New Roman" w:hAnsi="Times New Roman" w:cs="Times New Roman"/>
          <w:iCs/>
        </w:rPr>
        <w:t xml:space="preserve">. </w:t>
      </w:r>
    </w:p>
    <w:p w14:paraId="4D0D25E5" w14:textId="0C739BE2" w:rsidR="00D859F3" w:rsidRDefault="00D859F3" w:rsidP="007021DB">
      <w:pPr>
        <w:tabs>
          <w:tab w:val="left" w:pos="-1440"/>
        </w:tabs>
        <w:spacing w:after="0" w:line="276" w:lineRule="auto"/>
        <w:jc w:val="both"/>
        <w:rPr>
          <w:rFonts w:ascii="Times New Roman" w:hAnsi="Times New Roman" w:cs="Times New Roman"/>
          <w:iCs/>
        </w:rPr>
      </w:pPr>
    </w:p>
    <w:p w14:paraId="589F0037" w14:textId="2D1F1F62" w:rsidR="004513E7" w:rsidRDefault="004513E7" w:rsidP="007978D2">
      <w:pPr>
        <w:tabs>
          <w:tab w:val="left" w:pos="-1440"/>
        </w:tabs>
        <w:spacing w:after="0" w:line="276" w:lineRule="auto"/>
        <w:jc w:val="both"/>
        <w:rPr>
          <w:rFonts w:ascii="Times New Roman" w:hAnsi="Times New Roman" w:cs="Times New Roman"/>
          <w:iCs/>
        </w:rPr>
      </w:pPr>
      <w:r>
        <w:rPr>
          <w:rFonts w:ascii="Times New Roman" w:hAnsi="Times New Roman" w:cs="Times New Roman"/>
          <w:iCs/>
          <w:u w:val="single"/>
        </w:rPr>
        <w:t>Significant Commitment and/or Obligation</w:t>
      </w:r>
      <w:proofErr w:type="gramStart"/>
      <w:r>
        <w:rPr>
          <w:rFonts w:ascii="Times New Roman" w:hAnsi="Times New Roman" w:cs="Times New Roman"/>
          <w:iCs/>
          <w:u w:val="single"/>
        </w:rPr>
        <w:t>:</w:t>
      </w:r>
      <w:r>
        <w:rPr>
          <w:rFonts w:ascii="Times New Roman" w:hAnsi="Times New Roman" w:cs="Times New Roman"/>
          <w:iCs/>
        </w:rPr>
        <w:t xml:space="preserve">  </w:t>
      </w:r>
      <w:r w:rsidR="00462E8E">
        <w:rPr>
          <w:rFonts w:ascii="Times New Roman" w:hAnsi="Times New Roman" w:cs="Times New Roman"/>
          <w:iCs/>
        </w:rPr>
        <w:t>The</w:t>
      </w:r>
      <w:proofErr w:type="gramEnd"/>
      <w:r w:rsidR="00462E8E">
        <w:rPr>
          <w:rFonts w:ascii="Times New Roman" w:hAnsi="Times New Roman" w:cs="Times New Roman"/>
          <w:iCs/>
        </w:rPr>
        <w:t xml:space="preserve"> city was approached </w:t>
      </w:r>
      <w:r w:rsidR="00250D73">
        <w:rPr>
          <w:rFonts w:ascii="Times New Roman" w:hAnsi="Times New Roman" w:cs="Times New Roman"/>
          <w:iCs/>
        </w:rPr>
        <w:t xml:space="preserve">by Washington State Transportation Improvement Board to lead a pilot program for chip sealing projects for the cities of </w:t>
      </w:r>
      <w:proofErr w:type="spellStart"/>
      <w:r w:rsidR="00250D73">
        <w:rPr>
          <w:rFonts w:ascii="Times New Roman" w:hAnsi="Times New Roman" w:cs="Times New Roman"/>
          <w:iCs/>
        </w:rPr>
        <w:t>Mossyrock</w:t>
      </w:r>
      <w:proofErr w:type="spellEnd"/>
      <w:r w:rsidR="00250D73">
        <w:rPr>
          <w:rFonts w:ascii="Times New Roman" w:hAnsi="Times New Roman" w:cs="Times New Roman"/>
          <w:iCs/>
        </w:rPr>
        <w:t>, Winlock, Vader, Tenino, Toledo and the Town of Bucoda</w:t>
      </w:r>
      <w:r w:rsidR="00CF7EDA">
        <w:rPr>
          <w:rFonts w:ascii="Times New Roman" w:hAnsi="Times New Roman" w:cs="Times New Roman"/>
          <w:iCs/>
        </w:rPr>
        <w:t xml:space="preserve"> for summer 2023.</w:t>
      </w:r>
      <w:r w:rsidR="00250D73">
        <w:rPr>
          <w:rFonts w:ascii="Times New Roman" w:hAnsi="Times New Roman" w:cs="Times New Roman"/>
          <w:iCs/>
        </w:rPr>
        <w:t xml:space="preserve">  Washington State TIB loaned the City $1,800,000 </w:t>
      </w:r>
      <w:r w:rsidR="00CF7EDA">
        <w:rPr>
          <w:rFonts w:ascii="Times New Roman" w:hAnsi="Times New Roman" w:cs="Times New Roman"/>
          <w:iCs/>
        </w:rPr>
        <w:t>for</w:t>
      </w:r>
      <w:r w:rsidR="00250D73">
        <w:rPr>
          <w:rFonts w:ascii="Times New Roman" w:hAnsi="Times New Roman" w:cs="Times New Roman"/>
          <w:iCs/>
        </w:rPr>
        <w:t xml:space="preserve"> p</w:t>
      </w:r>
      <w:r w:rsidR="00CF7EDA">
        <w:rPr>
          <w:rFonts w:ascii="Times New Roman" w:hAnsi="Times New Roman" w:cs="Times New Roman"/>
          <w:iCs/>
        </w:rPr>
        <w:t>rojects and the city joined interlocal contracts with each entity.  The city contracted engineering services and did all bidding and administration of the projects in each city.  Each entity was responsible for grant reimbursement requests and to make payments to Napavine for their portion of work. After final completion approximately $1.5 million was paid back to TIB</w:t>
      </w:r>
      <w:r w:rsidR="00464D6A">
        <w:rPr>
          <w:rFonts w:ascii="Times New Roman" w:hAnsi="Times New Roman" w:cs="Times New Roman"/>
          <w:iCs/>
        </w:rPr>
        <w:t xml:space="preserve"> for the loan</w:t>
      </w:r>
      <w:r w:rsidR="00CF7EDA">
        <w:rPr>
          <w:rFonts w:ascii="Times New Roman" w:hAnsi="Times New Roman" w:cs="Times New Roman"/>
          <w:iCs/>
        </w:rPr>
        <w:t>, and the project was complete.  The city found this to be very successful.</w:t>
      </w:r>
    </w:p>
    <w:p w14:paraId="01AF2D2D" w14:textId="77777777" w:rsidR="00AD493D" w:rsidRDefault="00AD493D" w:rsidP="007978D2">
      <w:pPr>
        <w:tabs>
          <w:tab w:val="left" w:pos="-1440"/>
        </w:tabs>
        <w:spacing w:after="0" w:line="276" w:lineRule="auto"/>
        <w:jc w:val="both"/>
        <w:rPr>
          <w:rFonts w:ascii="Times New Roman" w:hAnsi="Times New Roman" w:cs="Times New Roman"/>
          <w:iCs/>
        </w:rPr>
      </w:pPr>
    </w:p>
    <w:p w14:paraId="0E4FCC1F" w14:textId="1E4A384E" w:rsidR="00AD493D" w:rsidRPr="004513E7" w:rsidRDefault="00AD493D" w:rsidP="007978D2">
      <w:pPr>
        <w:tabs>
          <w:tab w:val="left" w:pos="-1440"/>
        </w:tabs>
        <w:spacing w:after="0" w:line="276" w:lineRule="auto"/>
        <w:jc w:val="both"/>
        <w:rPr>
          <w:rFonts w:ascii="Cambria" w:hAnsi="Cambria" w:cstheme="minorHAnsi"/>
        </w:rPr>
      </w:pPr>
      <w:r>
        <w:rPr>
          <w:rFonts w:ascii="Times New Roman" w:hAnsi="Times New Roman" w:cs="Times New Roman"/>
          <w:iCs/>
        </w:rPr>
        <w:t xml:space="preserve">The city was approached by the cities of Morton and </w:t>
      </w:r>
      <w:proofErr w:type="spellStart"/>
      <w:r>
        <w:rPr>
          <w:rFonts w:ascii="Times New Roman" w:hAnsi="Times New Roman" w:cs="Times New Roman"/>
          <w:iCs/>
        </w:rPr>
        <w:t>Mossyrock</w:t>
      </w:r>
      <w:proofErr w:type="spellEnd"/>
      <w:r>
        <w:rPr>
          <w:rFonts w:ascii="Times New Roman" w:hAnsi="Times New Roman" w:cs="Times New Roman"/>
          <w:iCs/>
        </w:rPr>
        <w:t xml:space="preserve"> to provide court services through an interlocal agreement.  Court for both cities is held in the City of Napavine court chambers.  The city also has an interlocal agreement with the City of Winlock for court administration on an “as needed" basis.</w:t>
      </w:r>
    </w:p>
    <w:sectPr w:rsidR="00AD493D" w:rsidRPr="004513E7">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7ED1CC" w14:textId="77777777" w:rsidR="00772874" w:rsidRDefault="00772874" w:rsidP="00772874">
      <w:pPr>
        <w:spacing w:after="0" w:line="240" w:lineRule="auto"/>
      </w:pPr>
      <w:r>
        <w:separator/>
      </w:r>
    </w:p>
  </w:endnote>
  <w:endnote w:type="continuationSeparator" w:id="0">
    <w:p w14:paraId="1E91AC12" w14:textId="77777777" w:rsidR="00772874" w:rsidRDefault="00772874" w:rsidP="00772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4C148" w14:textId="759BBFD2" w:rsidR="00772874" w:rsidRDefault="00772874" w:rsidP="00772874">
    <w:pPr>
      <w:pStyle w:val="Footer"/>
      <w:jc w:val="right"/>
    </w:pPr>
    <w:r>
      <w:t xml:space="preserve">Page | </w:t>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CA3327" w14:textId="77777777" w:rsidR="00772874" w:rsidRDefault="00772874" w:rsidP="00772874">
      <w:pPr>
        <w:spacing w:after="0" w:line="240" w:lineRule="auto"/>
      </w:pPr>
      <w:r>
        <w:separator/>
      </w:r>
    </w:p>
  </w:footnote>
  <w:footnote w:type="continuationSeparator" w:id="0">
    <w:p w14:paraId="04748351" w14:textId="77777777" w:rsidR="00772874" w:rsidRDefault="00772874" w:rsidP="007728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2036A5"/>
    <w:multiLevelType w:val="multilevel"/>
    <w:tmpl w:val="227EAA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A1115E7"/>
    <w:multiLevelType w:val="multilevel"/>
    <w:tmpl w:val="E15E7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9F407B"/>
    <w:multiLevelType w:val="multilevel"/>
    <w:tmpl w:val="CA080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8424979"/>
    <w:multiLevelType w:val="hybridMultilevel"/>
    <w:tmpl w:val="EBAE3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5050805">
    <w:abstractNumId w:val="2"/>
  </w:num>
  <w:num w:numId="2" w16cid:durableId="1584682397">
    <w:abstractNumId w:val="0"/>
  </w:num>
  <w:num w:numId="3" w16cid:durableId="427120166">
    <w:abstractNumId w:val="1"/>
  </w:num>
  <w:num w:numId="4" w16cid:durableId="20172292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2AC"/>
    <w:rsid w:val="00000ADF"/>
    <w:rsid w:val="00001926"/>
    <w:rsid w:val="00003A65"/>
    <w:rsid w:val="00006C85"/>
    <w:rsid w:val="00012FF5"/>
    <w:rsid w:val="00027EB0"/>
    <w:rsid w:val="00061C56"/>
    <w:rsid w:val="00076E9E"/>
    <w:rsid w:val="00081BDD"/>
    <w:rsid w:val="00083732"/>
    <w:rsid w:val="00087807"/>
    <w:rsid w:val="000939A0"/>
    <w:rsid w:val="00094E9A"/>
    <w:rsid w:val="000C453B"/>
    <w:rsid w:val="000C5857"/>
    <w:rsid w:val="000D4678"/>
    <w:rsid w:val="000D503C"/>
    <w:rsid w:val="000E4C64"/>
    <w:rsid w:val="001013C9"/>
    <w:rsid w:val="00112AA2"/>
    <w:rsid w:val="00113C76"/>
    <w:rsid w:val="00124A90"/>
    <w:rsid w:val="001431F8"/>
    <w:rsid w:val="001C6490"/>
    <w:rsid w:val="001E0E88"/>
    <w:rsid w:val="001F2E65"/>
    <w:rsid w:val="001F54DE"/>
    <w:rsid w:val="00214A35"/>
    <w:rsid w:val="002320B1"/>
    <w:rsid w:val="00242725"/>
    <w:rsid w:val="002443EC"/>
    <w:rsid w:val="00250D73"/>
    <w:rsid w:val="00292F5D"/>
    <w:rsid w:val="00296A99"/>
    <w:rsid w:val="002A2EAD"/>
    <w:rsid w:val="002B336D"/>
    <w:rsid w:val="002B5E90"/>
    <w:rsid w:val="002F0DAD"/>
    <w:rsid w:val="003327A9"/>
    <w:rsid w:val="003838BE"/>
    <w:rsid w:val="003B69BB"/>
    <w:rsid w:val="003C3DA6"/>
    <w:rsid w:val="00426A6E"/>
    <w:rsid w:val="00427E9D"/>
    <w:rsid w:val="00442B78"/>
    <w:rsid w:val="004513E7"/>
    <w:rsid w:val="00462E8E"/>
    <w:rsid w:val="00464D6A"/>
    <w:rsid w:val="004719DB"/>
    <w:rsid w:val="0048176B"/>
    <w:rsid w:val="004B0475"/>
    <w:rsid w:val="004C7515"/>
    <w:rsid w:val="00504CD3"/>
    <w:rsid w:val="00506FAC"/>
    <w:rsid w:val="0050794C"/>
    <w:rsid w:val="00517356"/>
    <w:rsid w:val="00554EA1"/>
    <w:rsid w:val="00575543"/>
    <w:rsid w:val="005A4647"/>
    <w:rsid w:val="005A4941"/>
    <w:rsid w:val="005D507C"/>
    <w:rsid w:val="005F4197"/>
    <w:rsid w:val="00602DB6"/>
    <w:rsid w:val="0062187C"/>
    <w:rsid w:val="00630297"/>
    <w:rsid w:val="00630421"/>
    <w:rsid w:val="0063405D"/>
    <w:rsid w:val="00646E37"/>
    <w:rsid w:val="00676FFC"/>
    <w:rsid w:val="006A7715"/>
    <w:rsid w:val="006B22AC"/>
    <w:rsid w:val="007021DB"/>
    <w:rsid w:val="00731141"/>
    <w:rsid w:val="0074518E"/>
    <w:rsid w:val="007471DC"/>
    <w:rsid w:val="00756E6D"/>
    <w:rsid w:val="00772874"/>
    <w:rsid w:val="00795A58"/>
    <w:rsid w:val="007978D2"/>
    <w:rsid w:val="007E17FD"/>
    <w:rsid w:val="007E4D4A"/>
    <w:rsid w:val="00800A74"/>
    <w:rsid w:val="00810EB3"/>
    <w:rsid w:val="008216AF"/>
    <w:rsid w:val="008234FC"/>
    <w:rsid w:val="008557E9"/>
    <w:rsid w:val="00867849"/>
    <w:rsid w:val="00880EF5"/>
    <w:rsid w:val="00881D26"/>
    <w:rsid w:val="008848B0"/>
    <w:rsid w:val="00886C5D"/>
    <w:rsid w:val="008A733D"/>
    <w:rsid w:val="008B7AAF"/>
    <w:rsid w:val="008C16B5"/>
    <w:rsid w:val="008D43AC"/>
    <w:rsid w:val="008D4B6C"/>
    <w:rsid w:val="009137F5"/>
    <w:rsid w:val="009225E1"/>
    <w:rsid w:val="00922ABC"/>
    <w:rsid w:val="0092752D"/>
    <w:rsid w:val="009557C7"/>
    <w:rsid w:val="0099115B"/>
    <w:rsid w:val="009A2187"/>
    <w:rsid w:val="009A3D1E"/>
    <w:rsid w:val="009B4072"/>
    <w:rsid w:val="009D4E55"/>
    <w:rsid w:val="009D4ECC"/>
    <w:rsid w:val="009F0649"/>
    <w:rsid w:val="009F1427"/>
    <w:rsid w:val="009F7FEC"/>
    <w:rsid w:val="00A345F2"/>
    <w:rsid w:val="00A4451F"/>
    <w:rsid w:val="00A44C14"/>
    <w:rsid w:val="00A57059"/>
    <w:rsid w:val="00A85735"/>
    <w:rsid w:val="00AA5622"/>
    <w:rsid w:val="00AB0AC3"/>
    <w:rsid w:val="00AD025A"/>
    <w:rsid w:val="00AD1170"/>
    <w:rsid w:val="00AD4534"/>
    <w:rsid w:val="00AD493D"/>
    <w:rsid w:val="00AD7182"/>
    <w:rsid w:val="00AE2ADF"/>
    <w:rsid w:val="00AE3B72"/>
    <w:rsid w:val="00B149C0"/>
    <w:rsid w:val="00B270E2"/>
    <w:rsid w:val="00B3760F"/>
    <w:rsid w:val="00B378EF"/>
    <w:rsid w:val="00B457F0"/>
    <w:rsid w:val="00B47613"/>
    <w:rsid w:val="00B53CFE"/>
    <w:rsid w:val="00B56BB4"/>
    <w:rsid w:val="00B64D92"/>
    <w:rsid w:val="00B72507"/>
    <w:rsid w:val="00B74BCC"/>
    <w:rsid w:val="00B76389"/>
    <w:rsid w:val="00B973DA"/>
    <w:rsid w:val="00BF3444"/>
    <w:rsid w:val="00C21ECF"/>
    <w:rsid w:val="00C2641B"/>
    <w:rsid w:val="00C36D8A"/>
    <w:rsid w:val="00C45DD8"/>
    <w:rsid w:val="00C52B8B"/>
    <w:rsid w:val="00C60417"/>
    <w:rsid w:val="00C86249"/>
    <w:rsid w:val="00C97064"/>
    <w:rsid w:val="00C972DA"/>
    <w:rsid w:val="00CD2E90"/>
    <w:rsid w:val="00CD740B"/>
    <w:rsid w:val="00CE2A8F"/>
    <w:rsid w:val="00CE328C"/>
    <w:rsid w:val="00CF257C"/>
    <w:rsid w:val="00CF7EDA"/>
    <w:rsid w:val="00D152A2"/>
    <w:rsid w:val="00D20213"/>
    <w:rsid w:val="00D2128D"/>
    <w:rsid w:val="00D71FE6"/>
    <w:rsid w:val="00D805EB"/>
    <w:rsid w:val="00D859F3"/>
    <w:rsid w:val="00D94D98"/>
    <w:rsid w:val="00DE6A9A"/>
    <w:rsid w:val="00E011D4"/>
    <w:rsid w:val="00E07C38"/>
    <w:rsid w:val="00E128D0"/>
    <w:rsid w:val="00E30692"/>
    <w:rsid w:val="00E3095F"/>
    <w:rsid w:val="00E35B88"/>
    <w:rsid w:val="00E46EBC"/>
    <w:rsid w:val="00E54CCE"/>
    <w:rsid w:val="00E66F0E"/>
    <w:rsid w:val="00E73065"/>
    <w:rsid w:val="00E732B3"/>
    <w:rsid w:val="00E7342D"/>
    <w:rsid w:val="00E87F92"/>
    <w:rsid w:val="00E908F2"/>
    <w:rsid w:val="00E96F92"/>
    <w:rsid w:val="00EC38E8"/>
    <w:rsid w:val="00F226EC"/>
    <w:rsid w:val="00F23419"/>
    <w:rsid w:val="00F3251F"/>
    <w:rsid w:val="00F61518"/>
    <w:rsid w:val="00F74732"/>
    <w:rsid w:val="00FC36CC"/>
    <w:rsid w:val="00FC3F57"/>
    <w:rsid w:val="00FC4BAC"/>
    <w:rsid w:val="00FD2BB3"/>
    <w:rsid w:val="00FE154E"/>
    <w:rsid w:val="00FE2C3E"/>
    <w:rsid w:val="00FE54CE"/>
    <w:rsid w:val="00FF02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EFE4F"/>
  <w15:chartTrackingRefBased/>
  <w15:docId w15:val="{C10C8AB1-BF37-4F9C-AAD8-8AC066FBF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B22A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B22AC"/>
    <w:rPr>
      <w:b/>
      <w:bCs/>
    </w:rPr>
  </w:style>
  <w:style w:type="character" w:styleId="Hyperlink">
    <w:name w:val="Hyperlink"/>
    <w:basedOn w:val="DefaultParagraphFont"/>
    <w:uiPriority w:val="99"/>
    <w:unhideWhenUsed/>
    <w:rsid w:val="006B22AC"/>
    <w:rPr>
      <w:color w:val="0000FF"/>
      <w:u w:val="single"/>
    </w:rPr>
  </w:style>
  <w:style w:type="character" w:styleId="Emphasis">
    <w:name w:val="Emphasis"/>
    <w:basedOn w:val="DefaultParagraphFont"/>
    <w:uiPriority w:val="20"/>
    <w:qFormat/>
    <w:rsid w:val="006B22AC"/>
    <w:rPr>
      <w:i/>
      <w:iCs/>
    </w:rPr>
  </w:style>
  <w:style w:type="character" w:styleId="UnresolvedMention">
    <w:name w:val="Unresolved Mention"/>
    <w:basedOn w:val="DefaultParagraphFont"/>
    <w:uiPriority w:val="99"/>
    <w:semiHidden/>
    <w:unhideWhenUsed/>
    <w:rsid w:val="006B22AC"/>
    <w:rPr>
      <w:color w:val="605E5C"/>
      <w:shd w:val="clear" w:color="auto" w:fill="E1DFDD"/>
    </w:rPr>
  </w:style>
  <w:style w:type="character" w:styleId="FollowedHyperlink">
    <w:name w:val="FollowedHyperlink"/>
    <w:basedOn w:val="DefaultParagraphFont"/>
    <w:uiPriority w:val="99"/>
    <w:semiHidden/>
    <w:unhideWhenUsed/>
    <w:rsid w:val="00E011D4"/>
    <w:rPr>
      <w:color w:val="954F72" w:themeColor="followedHyperlink"/>
      <w:u w:val="single"/>
    </w:rPr>
  </w:style>
  <w:style w:type="paragraph" w:styleId="ListParagraph">
    <w:name w:val="List Paragraph"/>
    <w:basedOn w:val="Normal"/>
    <w:uiPriority w:val="34"/>
    <w:qFormat/>
    <w:rsid w:val="000C453B"/>
    <w:pPr>
      <w:spacing w:after="200" w:line="276" w:lineRule="auto"/>
      <w:ind w:left="720"/>
      <w:contextualSpacing/>
    </w:pPr>
  </w:style>
  <w:style w:type="character" w:styleId="PlaceholderText">
    <w:name w:val="Placeholder Text"/>
    <w:basedOn w:val="DefaultParagraphFont"/>
    <w:uiPriority w:val="99"/>
    <w:semiHidden/>
    <w:rsid w:val="00D805EB"/>
    <w:rPr>
      <w:color w:val="808080"/>
    </w:rPr>
  </w:style>
  <w:style w:type="paragraph" w:styleId="Header">
    <w:name w:val="header"/>
    <w:basedOn w:val="Normal"/>
    <w:link w:val="HeaderChar"/>
    <w:uiPriority w:val="99"/>
    <w:unhideWhenUsed/>
    <w:rsid w:val="007728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2874"/>
  </w:style>
  <w:style w:type="paragraph" w:styleId="Footer">
    <w:name w:val="footer"/>
    <w:basedOn w:val="Normal"/>
    <w:link w:val="FooterChar"/>
    <w:uiPriority w:val="99"/>
    <w:unhideWhenUsed/>
    <w:rsid w:val="007728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28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3467">
      <w:bodyDiv w:val="1"/>
      <w:marLeft w:val="0"/>
      <w:marRight w:val="0"/>
      <w:marTop w:val="0"/>
      <w:marBottom w:val="0"/>
      <w:divBdr>
        <w:top w:val="none" w:sz="0" w:space="0" w:color="auto"/>
        <w:left w:val="none" w:sz="0" w:space="0" w:color="auto"/>
        <w:bottom w:val="none" w:sz="0" w:space="0" w:color="auto"/>
        <w:right w:val="none" w:sz="0" w:space="0" w:color="auto"/>
      </w:divBdr>
    </w:div>
    <w:div w:id="188225530">
      <w:bodyDiv w:val="1"/>
      <w:marLeft w:val="0"/>
      <w:marRight w:val="0"/>
      <w:marTop w:val="0"/>
      <w:marBottom w:val="0"/>
      <w:divBdr>
        <w:top w:val="none" w:sz="0" w:space="0" w:color="auto"/>
        <w:left w:val="none" w:sz="0" w:space="0" w:color="auto"/>
        <w:bottom w:val="none" w:sz="0" w:space="0" w:color="auto"/>
        <w:right w:val="none" w:sz="0" w:space="0" w:color="auto"/>
      </w:divBdr>
    </w:div>
    <w:div w:id="214050376">
      <w:bodyDiv w:val="1"/>
      <w:marLeft w:val="0"/>
      <w:marRight w:val="0"/>
      <w:marTop w:val="0"/>
      <w:marBottom w:val="0"/>
      <w:divBdr>
        <w:top w:val="none" w:sz="0" w:space="0" w:color="auto"/>
        <w:left w:val="none" w:sz="0" w:space="0" w:color="auto"/>
        <w:bottom w:val="none" w:sz="0" w:space="0" w:color="auto"/>
        <w:right w:val="none" w:sz="0" w:space="0" w:color="auto"/>
      </w:divBdr>
    </w:div>
    <w:div w:id="236794515">
      <w:bodyDiv w:val="1"/>
      <w:marLeft w:val="0"/>
      <w:marRight w:val="0"/>
      <w:marTop w:val="0"/>
      <w:marBottom w:val="0"/>
      <w:divBdr>
        <w:top w:val="none" w:sz="0" w:space="0" w:color="auto"/>
        <w:left w:val="none" w:sz="0" w:space="0" w:color="auto"/>
        <w:bottom w:val="none" w:sz="0" w:space="0" w:color="auto"/>
        <w:right w:val="none" w:sz="0" w:space="0" w:color="auto"/>
      </w:divBdr>
    </w:div>
    <w:div w:id="247354033">
      <w:bodyDiv w:val="1"/>
      <w:marLeft w:val="0"/>
      <w:marRight w:val="0"/>
      <w:marTop w:val="0"/>
      <w:marBottom w:val="0"/>
      <w:divBdr>
        <w:top w:val="none" w:sz="0" w:space="0" w:color="auto"/>
        <w:left w:val="none" w:sz="0" w:space="0" w:color="auto"/>
        <w:bottom w:val="none" w:sz="0" w:space="0" w:color="auto"/>
        <w:right w:val="none" w:sz="0" w:space="0" w:color="auto"/>
      </w:divBdr>
      <w:divsChild>
        <w:div w:id="1871524129">
          <w:marLeft w:val="1500"/>
          <w:marRight w:val="0"/>
          <w:marTop w:val="0"/>
          <w:marBottom w:val="0"/>
          <w:divBdr>
            <w:top w:val="none" w:sz="0" w:space="0" w:color="auto"/>
            <w:left w:val="none" w:sz="0" w:space="0" w:color="auto"/>
            <w:bottom w:val="none" w:sz="0" w:space="0" w:color="auto"/>
            <w:right w:val="none" w:sz="0" w:space="0" w:color="auto"/>
          </w:divBdr>
        </w:div>
      </w:divsChild>
    </w:div>
    <w:div w:id="319501563">
      <w:bodyDiv w:val="1"/>
      <w:marLeft w:val="0"/>
      <w:marRight w:val="0"/>
      <w:marTop w:val="0"/>
      <w:marBottom w:val="0"/>
      <w:divBdr>
        <w:top w:val="none" w:sz="0" w:space="0" w:color="auto"/>
        <w:left w:val="none" w:sz="0" w:space="0" w:color="auto"/>
        <w:bottom w:val="none" w:sz="0" w:space="0" w:color="auto"/>
        <w:right w:val="none" w:sz="0" w:space="0" w:color="auto"/>
      </w:divBdr>
    </w:div>
    <w:div w:id="366570660">
      <w:bodyDiv w:val="1"/>
      <w:marLeft w:val="0"/>
      <w:marRight w:val="0"/>
      <w:marTop w:val="0"/>
      <w:marBottom w:val="0"/>
      <w:divBdr>
        <w:top w:val="none" w:sz="0" w:space="0" w:color="auto"/>
        <w:left w:val="none" w:sz="0" w:space="0" w:color="auto"/>
        <w:bottom w:val="none" w:sz="0" w:space="0" w:color="auto"/>
        <w:right w:val="none" w:sz="0" w:space="0" w:color="auto"/>
      </w:divBdr>
    </w:div>
    <w:div w:id="386681656">
      <w:bodyDiv w:val="1"/>
      <w:marLeft w:val="0"/>
      <w:marRight w:val="0"/>
      <w:marTop w:val="0"/>
      <w:marBottom w:val="0"/>
      <w:divBdr>
        <w:top w:val="none" w:sz="0" w:space="0" w:color="auto"/>
        <w:left w:val="none" w:sz="0" w:space="0" w:color="auto"/>
        <w:bottom w:val="none" w:sz="0" w:space="0" w:color="auto"/>
        <w:right w:val="none" w:sz="0" w:space="0" w:color="auto"/>
      </w:divBdr>
    </w:div>
    <w:div w:id="438185963">
      <w:bodyDiv w:val="1"/>
      <w:marLeft w:val="0"/>
      <w:marRight w:val="0"/>
      <w:marTop w:val="0"/>
      <w:marBottom w:val="0"/>
      <w:divBdr>
        <w:top w:val="none" w:sz="0" w:space="0" w:color="auto"/>
        <w:left w:val="none" w:sz="0" w:space="0" w:color="auto"/>
        <w:bottom w:val="none" w:sz="0" w:space="0" w:color="auto"/>
        <w:right w:val="none" w:sz="0" w:space="0" w:color="auto"/>
      </w:divBdr>
    </w:div>
    <w:div w:id="487285140">
      <w:bodyDiv w:val="1"/>
      <w:marLeft w:val="0"/>
      <w:marRight w:val="0"/>
      <w:marTop w:val="0"/>
      <w:marBottom w:val="0"/>
      <w:divBdr>
        <w:top w:val="none" w:sz="0" w:space="0" w:color="auto"/>
        <w:left w:val="none" w:sz="0" w:space="0" w:color="auto"/>
        <w:bottom w:val="none" w:sz="0" w:space="0" w:color="auto"/>
        <w:right w:val="none" w:sz="0" w:space="0" w:color="auto"/>
      </w:divBdr>
    </w:div>
    <w:div w:id="516310466">
      <w:bodyDiv w:val="1"/>
      <w:marLeft w:val="0"/>
      <w:marRight w:val="0"/>
      <w:marTop w:val="0"/>
      <w:marBottom w:val="0"/>
      <w:divBdr>
        <w:top w:val="none" w:sz="0" w:space="0" w:color="auto"/>
        <w:left w:val="none" w:sz="0" w:space="0" w:color="auto"/>
        <w:bottom w:val="none" w:sz="0" w:space="0" w:color="auto"/>
        <w:right w:val="none" w:sz="0" w:space="0" w:color="auto"/>
      </w:divBdr>
    </w:div>
    <w:div w:id="586421354">
      <w:bodyDiv w:val="1"/>
      <w:marLeft w:val="0"/>
      <w:marRight w:val="0"/>
      <w:marTop w:val="0"/>
      <w:marBottom w:val="0"/>
      <w:divBdr>
        <w:top w:val="none" w:sz="0" w:space="0" w:color="auto"/>
        <w:left w:val="none" w:sz="0" w:space="0" w:color="auto"/>
        <w:bottom w:val="none" w:sz="0" w:space="0" w:color="auto"/>
        <w:right w:val="none" w:sz="0" w:space="0" w:color="auto"/>
      </w:divBdr>
    </w:div>
    <w:div w:id="704256976">
      <w:bodyDiv w:val="1"/>
      <w:marLeft w:val="0"/>
      <w:marRight w:val="0"/>
      <w:marTop w:val="0"/>
      <w:marBottom w:val="0"/>
      <w:divBdr>
        <w:top w:val="none" w:sz="0" w:space="0" w:color="auto"/>
        <w:left w:val="none" w:sz="0" w:space="0" w:color="auto"/>
        <w:bottom w:val="none" w:sz="0" w:space="0" w:color="auto"/>
        <w:right w:val="none" w:sz="0" w:space="0" w:color="auto"/>
      </w:divBdr>
    </w:div>
    <w:div w:id="750271490">
      <w:bodyDiv w:val="1"/>
      <w:marLeft w:val="0"/>
      <w:marRight w:val="0"/>
      <w:marTop w:val="0"/>
      <w:marBottom w:val="0"/>
      <w:divBdr>
        <w:top w:val="none" w:sz="0" w:space="0" w:color="auto"/>
        <w:left w:val="none" w:sz="0" w:space="0" w:color="auto"/>
        <w:bottom w:val="none" w:sz="0" w:space="0" w:color="auto"/>
        <w:right w:val="none" w:sz="0" w:space="0" w:color="auto"/>
      </w:divBdr>
      <w:divsChild>
        <w:div w:id="1348173495">
          <w:marLeft w:val="1500"/>
          <w:marRight w:val="0"/>
          <w:marTop w:val="0"/>
          <w:marBottom w:val="0"/>
          <w:divBdr>
            <w:top w:val="none" w:sz="0" w:space="0" w:color="auto"/>
            <w:left w:val="none" w:sz="0" w:space="0" w:color="auto"/>
            <w:bottom w:val="none" w:sz="0" w:space="0" w:color="auto"/>
            <w:right w:val="none" w:sz="0" w:space="0" w:color="auto"/>
          </w:divBdr>
        </w:div>
      </w:divsChild>
    </w:div>
    <w:div w:id="1052195222">
      <w:bodyDiv w:val="1"/>
      <w:marLeft w:val="0"/>
      <w:marRight w:val="0"/>
      <w:marTop w:val="0"/>
      <w:marBottom w:val="0"/>
      <w:divBdr>
        <w:top w:val="none" w:sz="0" w:space="0" w:color="auto"/>
        <w:left w:val="none" w:sz="0" w:space="0" w:color="auto"/>
        <w:bottom w:val="none" w:sz="0" w:space="0" w:color="auto"/>
        <w:right w:val="none" w:sz="0" w:space="0" w:color="auto"/>
      </w:divBdr>
    </w:div>
    <w:div w:id="1198665744">
      <w:bodyDiv w:val="1"/>
      <w:marLeft w:val="0"/>
      <w:marRight w:val="0"/>
      <w:marTop w:val="0"/>
      <w:marBottom w:val="0"/>
      <w:divBdr>
        <w:top w:val="none" w:sz="0" w:space="0" w:color="auto"/>
        <w:left w:val="none" w:sz="0" w:space="0" w:color="auto"/>
        <w:bottom w:val="none" w:sz="0" w:space="0" w:color="auto"/>
        <w:right w:val="none" w:sz="0" w:space="0" w:color="auto"/>
      </w:divBdr>
    </w:div>
    <w:div w:id="1238397548">
      <w:bodyDiv w:val="1"/>
      <w:marLeft w:val="0"/>
      <w:marRight w:val="0"/>
      <w:marTop w:val="0"/>
      <w:marBottom w:val="0"/>
      <w:divBdr>
        <w:top w:val="none" w:sz="0" w:space="0" w:color="auto"/>
        <w:left w:val="none" w:sz="0" w:space="0" w:color="auto"/>
        <w:bottom w:val="none" w:sz="0" w:space="0" w:color="auto"/>
        <w:right w:val="none" w:sz="0" w:space="0" w:color="auto"/>
      </w:divBdr>
    </w:div>
    <w:div w:id="1253321776">
      <w:bodyDiv w:val="1"/>
      <w:marLeft w:val="0"/>
      <w:marRight w:val="0"/>
      <w:marTop w:val="0"/>
      <w:marBottom w:val="0"/>
      <w:divBdr>
        <w:top w:val="none" w:sz="0" w:space="0" w:color="auto"/>
        <w:left w:val="none" w:sz="0" w:space="0" w:color="auto"/>
        <w:bottom w:val="none" w:sz="0" w:space="0" w:color="auto"/>
        <w:right w:val="none" w:sz="0" w:space="0" w:color="auto"/>
      </w:divBdr>
    </w:div>
    <w:div w:id="1257639565">
      <w:bodyDiv w:val="1"/>
      <w:marLeft w:val="0"/>
      <w:marRight w:val="0"/>
      <w:marTop w:val="0"/>
      <w:marBottom w:val="0"/>
      <w:divBdr>
        <w:top w:val="none" w:sz="0" w:space="0" w:color="auto"/>
        <w:left w:val="none" w:sz="0" w:space="0" w:color="auto"/>
        <w:bottom w:val="none" w:sz="0" w:space="0" w:color="auto"/>
        <w:right w:val="none" w:sz="0" w:space="0" w:color="auto"/>
      </w:divBdr>
    </w:div>
    <w:div w:id="1267080428">
      <w:bodyDiv w:val="1"/>
      <w:marLeft w:val="0"/>
      <w:marRight w:val="0"/>
      <w:marTop w:val="0"/>
      <w:marBottom w:val="0"/>
      <w:divBdr>
        <w:top w:val="none" w:sz="0" w:space="0" w:color="auto"/>
        <w:left w:val="none" w:sz="0" w:space="0" w:color="auto"/>
        <w:bottom w:val="none" w:sz="0" w:space="0" w:color="auto"/>
        <w:right w:val="none" w:sz="0" w:space="0" w:color="auto"/>
      </w:divBdr>
    </w:div>
    <w:div w:id="1323775197">
      <w:bodyDiv w:val="1"/>
      <w:marLeft w:val="0"/>
      <w:marRight w:val="0"/>
      <w:marTop w:val="0"/>
      <w:marBottom w:val="0"/>
      <w:divBdr>
        <w:top w:val="none" w:sz="0" w:space="0" w:color="auto"/>
        <w:left w:val="none" w:sz="0" w:space="0" w:color="auto"/>
        <w:bottom w:val="none" w:sz="0" w:space="0" w:color="auto"/>
        <w:right w:val="none" w:sz="0" w:space="0" w:color="auto"/>
      </w:divBdr>
    </w:div>
    <w:div w:id="1346832854">
      <w:bodyDiv w:val="1"/>
      <w:marLeft w:val="0"/>
      <w:marRight w:val="0"/>
      <w:marTop w:val="0"/>
      <w:marBottom w:val="0"/>
      <w:divBdr>
        <w:top w:val="none" w:sz="0" w:space="0" w:color="auto"/>
        <w:left w:val="none" w:sz="0" w:space="0" w:color="auto"/>
        <w:bottom w:val="none" w:sz="0" w:space="0" w:color="auto"/>
        <w:right w:val="none" w:sz="0" w:space="0" w:color="auto"/>
      </w:divBdr>
    </w:div>
    <w:div w:id="1348370061">
      <w:bodyDiv w:val="1"/>
      <w:marLeft w:val="0"/>
      <w:marRight w:val="0"/>
      <w:marTop w:val="0"/>
      <w:marBottom w:val="0"/>
      <w:divBdr>
        <w:top w:val="none" w:sz="0" w:space="0" w:color="auto"/>
        <w:left w:val="none" w:sz="0" w:space="0" w:color="auto"/>
        <w:bottom w:val="none" w:sz="0" w:space="0" w:color="auto"/>
        <w:right w:val="none" w:sz="0" w:space="0" w:color="auto"/>
      </w:divBdr>
    </w:div>
    <w:div w:id="1383939253">
      <w:bodyDiv w:val="1"/>
      <w:marLeft w:val="0"/>
      <w:marRight w:val="0"/>
      <w:marTop w:val="0"/>
      <w:marBottom w:val="0"/>
      <w:divBdr>
        <w:top w:val="none" w:sz="0" w:space="0" w:color="auto"/>
        <w:left w:val="none" w:sz="0" w:space="0" w:color="auto"/>
        <w:bottom w:val="none" w:sz="0" w:space="0" w:color="auto"/>
        <w:right w:val="none" w:sz="0" w:space="0" w:color="auto"/>
      </w:divBdr>
    </w:div>
    <w:div w:id="1431316580">
      <w:bodyDiv w:val="1"/>
      <w:marLeft w:val="0"/>
      <w:marRight w:val="0"/>
      <w:marTop w:val="0"/>
      <w:marBottom w:val="0"/>
      <w:divBdr>
        <w:top w:val="none" w:sz="0" w:space="0" w:color="auto"/>
        <w:left w:val="none" w:sz="0" w:space="0" w:color="auto"/>
        <w:bottom w:val="none" w:sz="0" w:space="0" w:color="auto"/>
        <w:right w:val="none" w:sz="0" w:space="0" w:color="auto"/>
      </w:divBdr>
    </w:div>
    <w:div w:id="1487746878">
      <w:bodyDiv w:val="1"/>
      <w:marLeft w:val="0"/>
      <w:marRight w:val="0"/>
      <w:marTop w:val="0"/>
      <w:marBottom w:val="0"/>
      <w:divBdr>
        <w:top w:val="none" w:sz="0" w:space="0" w:color="auto"/>
        <w:left w:val="none" w:sz="0" w:space="0" w:color="auto"/>
        <w:bottom w:val="none" w:sz="0" w:space="0" w:color="auto"/>
        <w:right w:val="none" w:sz="0" w:space="0" w:color="auto"/>
      </w:divBdr>
    </w:div>
    <w:div w:id="1490563432">
      <w:bodyDiv w:val="1"/>
      <w:marLeft w:val="0"/>
      <w:marRight w:val="0"/>
      <w:marTop w:val="0"/>
      <w:marBottom w:val="0"/>
      <w:divBdr>
        <w:top w:val="none" w:sz="0" w:space="0" w:color="auto"/>
        <w:left w:val="none" w:sz="0" w:space="0" w:color="auto"/>
        <w:bottom w:val="none" w:sz="0" w:space="0" w:color="auto"/>
        <w:right w:val="none" w:sz="0" w:space="0" w:color="auto"/>
      </w:divBdr>
    </w:div>
    <w:div w:id="1520780224">
      <w:bodyDiv w:val="1"/>
      <w:marLeft w:val="0"/>
      <w:marRight w:val="0"/>
      <w:marTop w:val="0"/>
      <w:marBottom w:val="0"/>
      <w:divBdr>
        <w:top w:val="none" w:sz="0" w:space="0" w:color="auto"/>
        <w:left w:val="none" w:sz="0" w:space="0" w:color="auto"/>
        <w:bottom w:val="none" w:sz="0" w:space="0" w:color="auto"/>
        <w:right w:val="none" w:sz="0" w:space="0" w:color="auto"/>
      </w:divBdr>
    </w:div>
    <w:div w:id="1586915568">
      <w:bodyDiv w:val="1"/>
      <w:marLeft w:val="0"/>
      <w:marRight w:val="0"/>
      <w:marTop w:val="0"/>
      <w:marBottom w:val="0"/>
      <w:divBdr>
        <w:top w:val="none" w:sz="0" w:space="0" w:color="auto"/>
        <w:left w:val="none" w:sz="0" w:space="0" w:color="auto"/>
        <w:bottom w:val="none" w:sz="0" w:space="0" w:color="auto"/>
        <w:right w:val="none" w:sz="0" w:space="0" w:color="auto"/>
      </w:divBdr>
    </w:div>
    <w:div w:id="1668946410">
      <w:bodyDiv w:val="1"/>
      <w:marLeft w:val="0"/>
      <w:marRight w:val="0"/>
      <w:marTop w:val="0"/>
      <w:marBottom w:val="0"/>
      <w:divBdr>
        <w:top w:val="none" w:sz="0" w:space="0" w:color="auto"/>
        <w:left w:val="none" w:sz="0" w:space="0" w:color="auto"/>
        <w:bottom w:val="none" w:sz="0" w:space="0" w:color="auto"/>
        <w:right w:val="none" w:sz="0" w:space="0" w:color="auto"/>
      </w:divBdr>
    </w:div>
    <w:div w:id="1691684016">
      <w:bodyDiv w:val="1"/>
      <w:marLeft w:val="0"/>
      <w:marRight w:val="0"/>
      <w:marTop w:val="0"/>
      <w:marBottom w:val="0"/>
      <w:divBdr>
        <w:top w:val="none" w:sz="0" w:space="0" w:color="auto"/>
        <w:left w:val="none" w:sz="0" w:space="0" w:color="auto"/>
        <w:bottom w:val="none" w:sz="0" w:space="0" w:color="auto"/>
        <w:right w:val="none" w:sz="0" w:space="0" w:color="auto"/>
      </w:divBdr>
    </w:div>
    <w:div w:id="1702247553">
      <w:bodyDiv w:val="1"/>
      <w:marLeft w:val="0"/>
      <w:marRight w:val="0"/>
      <w:marTop w:val="0"/>
      <w:marBottom w:val="0"/>
      <w:divBdr>
        <w:top w:val="none" w:sz="0" w:space="0" w:color="auto"/>
        <w:left w:val="none" w:sz="0" w:space="0" w:color="auto"/>
        <w:bottom w:val="none" w:sz="0" w:space="0" w:color="auto"/>
        <w:right w:val="none" w:sz="0" w:space="0" w:color="auto"/>
      </w:divBdr>
    </w:div>
    <w:div w:id="1785728683">
      <w:bodyDiv w:val="1"/>
      <w:marLeft w:val="0"/>
      <w:marRight w:val="0"/>
      <w:marTop w:val="0"/>
      <w:marBottom w:val="0"/>
      <w:divBdr>
        <w:top w:val="none" w:sz="0" w:space="0" w:color="auto"/>
        <w:left w:val="none" w:sz="0" w:space="0" w:color="auto"/>
        <w:bottom w:val="none" w:sz="0" w:space="0" w:color="auto"/>
        <w:right w:val="none" w:sz="0" w:space="0" w:color="auto"/>
      </w:divBdr>
    </w:div>
    <w:div w:id="1967226102">
      <w:bodyDiv w:val="1"/>
      <w:marLeft w:val="0"/>
      <w:marRight w:val="0"/>
      <w:marTop w:val="0"/>
      <w:marBottom w:val="0"/>
      <w:divBdr>
        <w:top w:val="none" w:sz="0" w:space="0" w:color="auto"/>
        <w:left w:val="none" w:sz="0" w:space="0" w:color="auto"/>
        <w:bottom w:val="none" w:sz="0" w:space="0" w:color="auto"/>
        <w:right w:val="none" w:sz="0" w:space="0" w:color="auto"/>
      </w:divBdr>
    </w:div>
    <w:div w:id="2019312381">
      <w:bodyDiv w:val="1"/>
      <w:marLeft w:val="0"/>
      <w:marRight w:val="0"/>
      <w:marTop w:val="0"/>
      <w:marBottom w:val="0"/>
      <w:divBdr>
        <w:top w:val="none" w:sz="0" w:space="0" w:color="auto"/>
        <w:left w:val="none" w:sz="0" w:space="0" w:color="auto"/>
        <w:bottom w:val="none" w:sz="0" w:space="0" w:color="auto"/>
        <w:right w:val="none" w:sz="0" w:space="0" w:color="auto"/>
      </w:divBdr>
    </w:div>
    <w:div w:id="2075928363">
      <w:bodyDiv w:val="1"/>
      <w:marLeft w:val="0"/>
      <w:marRight w:val="0"/>
      <w:marTop w:val="0"/>
      <w:marBottom w:val="0"/>
      <w:divBdr>
        <w:top w:val="none" w:sz="0" w:space="0" w:color="auto"/>
        <w:left w:val="none" w:sz="0" w:space="0" w:color="auto"/>
        <w:bottom w:val="none" w:sz="0" w:space="0" w:color="auto"/>
        <w:right w:val="none" w:sz="0" w:space="0" w:color="auto"/>
      </w:divBdr>
    </w:div>
    <w:div w:id="2096707684">
      <w:bodyDiv w:val="1"/>
      <w:marLeft w:val="0"/>
      <w:marRight w:val="0"/>
      <w:marTop w:val="0"/>
      <w:marBottom w:val="0"/>
      <w:divBdr>
        <w:top w:val="none" w:sz="0" w:space="0" w:color="auto"/>
        <w:left w:val="none" w:sz="0" w:space="0" w:color="auto"/>
        <w:bottom w:val="none" w:sz="0" w:space="0" w:color="auto"/>
        <w:right w:val="none" w:sz="0" w:space="0" w:color="auto"/>
      </w:divBdr>
    </w:div>
    <w:div w:id="2117631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leg.wa.gov/RCW/default.aspx?cite=43.09&amp;full=true" TargetMode="External"/><Relationship Id="rId13" Type="http://schemas.openxmlformats.org/officeDocument/2006/relationships/hyperlink" Target="http://www.tre.wa.gov/"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pp.leg.wa.gov/rcw/default.aspx?cite=43.25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yperlink" Target="http://www.drs.wa.gov/" TargetMode="External"/><Relationship Id="rId10" Type="http://schemas.openxmlformats.org/officeDocument/2006/relationships/hyperlink" Target="https://sao.wa.gov/bars_cash/reporting/notes-to-financial-statements/note-x-debt-service-requirements/" TargetMode="External"/><Relationship Id="rId4" Type="http://schemas.openxmlformats.org/officeDocument/2006/relationships/settings" Target="settings.xml"/><Relationship Id="rId9" Type="http://schemas.openxmlformats.org/officeDocument/2006/relationships/hyperlink" Target="https://sao.wa.gov/bars_cash/reporting/notes-to-financial-statements/note-x-deposits-and-investments/" TargetMode="Externa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56C98-DF12-4A5B-A582-B6644470B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15</Pages>
  <Words>5157</Words>
  <Characters>29398</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Wood</dc:creator>
  <cp:keywords/>
  <dc:description/>
  <cp:lastModifiedBy>Michelle Whitten</cp:lastModifiedBy>
  <cp:revision>5</cp:revision>
  <cp:lastPrinted>2023-05-22T17:23:00Z</cp:lastPrinted>
  <dcterms:created xsi:type="dcterms:W3CDTF">2025-05-29T16:21:00Z</dcterms:created>
  <dcterms:modified xsi:type="dcterms:W3CDTF">2025-05-29T17:40:00Z</dcterms:modified>
</cp:coreProperties>
</file>